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4.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5.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6.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7.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8.xml" ContentType="application/vnd.openxmlformats-officedocument.drawingml.chartshapes+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drawings/drawing9.xml" ContentType="application/vnd.openxmlformats-officedocument.drawingml.chartshapes+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drawings/drawing10.xml" ContentType="application/vnd.openxmlformats-officedocument.drawingml.chartshapes+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7762D" w14:textId="7F1BD26E" w:rsidR="00D5739A" w:rsidRPr="00260B6E" w:rsidRDefault="00D5739A" w:rsidP="00260B6E">
      <w:pPr>
        <w:pStyle w:val="Title"/>
        <w:rPr>
          <w:sz w:val="52"/>
          <w:szCs w:val="52"/>
        </w:rPr>
      </w:pPr>
      <w:r w:rsidRPr="00260B6E">
        <w:rPr>
          <w:sz w:val="52"/>
          <w:szCs w:val="52"/>
        </w:rPr>
        <w:t>P</w:t>
      </w:r>
      <w:r w:rsidR="008E2A83" w:rsidRPr="00260B6E">
        <w:rPr>
          <w:sz w:val="52"/>
          <w:szCs w:val="52"/>
        </w:rPr>
        <w:t>resident’s</w:t>
      </w:r>
      <w:r w:rsidRPr="00260B6E">
        <w:rPr>
          <w:sz w:val="52"/>
          <w:szCs w:val="52"/>
        </w:rPr>
        <w:t xml:space="preserve"> </w:t>
      </w:r>
      <w:r w:rsidR="008E2A83" w:rsidRPr="00260B6E">
        <w:rPr>
          <w:sz w:val="52"/>
          <w:szCs w:val="52"/>
        </w:rPr>
        <w:t>meeting with Christiane Fox, Deputy Minister, Indigenous Services Canada</w:t>
      </w:r>
    </w:p>
    <w:p w14:paraId="66BD74B0" w14:textId="77777777" w:rsidR="00D5739A" w:rsidRPr="00260B6E" w:rsidRDefault="00D5739A" w:rsidP="00260B6E">
      <w:pPr>
        <w:pStyle w:val="Title"/>
        <w:rPr>
          <w:sz w:val="52"/>
          <w:szCs w:val="52"/>
        </w:rPr>
      </w:pPr>
      <w:r w:rsidRPr="00260B6E">
        <w:rPr>
          <w:sz w:val="52"/>
          <w:szCs w:val="52"/>
        </w:rPr>
        <w:t>*Information valid as of October 22, 2020</w:t>
      </w:r>
    </w:p>
    <w:p w14:paraId="0D3263B3" w14:textId="77777777" w:rsidR="00D5739A" w:rsidRPr="008E75FC" w:rsidRDefault="00D5739A" w:rsidP="008E2A83">
      <w:pPr>
        <w:pStyle w:val="Heading1"/>
        <w:spacing w:after="120"/>
        <w:rPr>
          <w:lang w:val="en-CA"/>
        </w:rPr>
      </w:pPr>
      <w:r w:rsidRPr="008E75FC">
        <w:rPr>
          <w:lang w:val="en-CA"/>
        </w:rPr>
        <w:t>Introduction</w:t>
      </w:r>
    </w:p>
    <w:p w14:paraId="612782BF" w14:textId="77777777" w:rsidR="00D5739A" w:rsidRPr="008E75FC" w:rsidRDefault="00D5739A" w:rsidP="00260B6E">
      <w:pPr>
        <w:pStyle w:val="Heading2"/>
        <w:spacing w:before="0" w:after="120"/>
        <w:rPr>
          <w:lang w:val="en-CA"/>
        </w:rPr>
      </w:pPr>
      <w:r w:rsidRPr="008E75FC">
        <w:rPr>
          <w:lang w:val="en-CA"/>
        </w:rPr>
        <w:t>Deputy Head</w:t>
      </w:r>
    </w:p>
    <w:p w14:paraId="43CFC67B" w14:textId="77777777" w:rsidR="00D5739A" w:rsidRPr="008E75FC" w:rsidRDefault="00D5739A" w:rsidP="00D5739A">
      <w:pPr>
        <w:pStyle w:val="NoSpacing"/>
        <w:spacing w:after="120"/>
        <w:rPr>
          <w:rFonts w:asciiTheme="minorHAnsi" w:hAnsiTheme="minorHAnsi" w:cstheme="minorHAnsi"/>
          <w:sz w:val="22"/>
          <w:szCs w:val="22"/>
          <w:lang w:val="en-CA" w:eastAsia="en-CA"/>
        </w:rPr>
      </w:pPr>
      <w:r w:rsidRPr="008E75FC">
        <w:rPr>
          <w:rFonts w:asciiTheme="minorHAnsi" w:hAnsiTheme="minorHAnsi" w:cstheme="minorHAnsi"/>
          <w:sz w:val="22"/>
          <w:szCs w:val="22"/>
          <w:lang w:val="en-CA"/>
        </w:rPr>
        <w:t>Ms. Christiane Fox was appointed as the Deputy Minister</w:t>
      </w:r>
      <w:r w:rsidRPr="008E75FC">
        <w:rPr>
          <w:rFonts w:asciiTheme="minorHAnsi" w:hAnsiTheme="minorHAnsi" w:cstheme="minorHAnsi"/>
          <w:sz w:val="22"/>
          <w:szCs w:val="22"/>
          <w:lang w:val="en-CA" w:eastAsia="en-CA"/>
        </w:rPr>
        <w:t xml:space="preserve">, Indigenous Services Canada (ISC) </w:t>
      </w:r>
      <w:r w:rsidRPr="008E75FC">
        <w:rPr>
          <w:rFonts w:asciiTheme="minorHAnsi" w:hAnsiTheme="minorHAnsi" w:cstheme="minorHAnsi"/>
          <w:sz w:val="22"/>
          <w:szCs w:val="22"/>
          <w:lang w:val="en-CA"/>
        </w:rPr>
        <w:t>on September 21, 2020.</w:t>
      </w:r>
    </w:p>
    <w:p w14:paraId="14FE4882" w14:textId="7B11F3BF" w:rsidR="00D5739A" w:rsidRPr="008E75FC" w:rsidRDefault="00D5739A" w:rsidP="008E2A83">
      <w:pPr>
        <w:pStyle w:val="NoSpacing"/>
        <w:spacing w:after="120"/>
        <w:rPr>
          <w:rFonts w:asciiTheme="minorHAnsi" w:hAnsiTheme="minorHAnsi" w:cstheme="minorHAnsi"/>
          <w:sz w:val="22"/>
          <w:szCs w:val="22"/>
          <w:lang w:val="en-CA"/>
        </w:rPr>
      </w:pPr>
      <w:r w:rsidRPr="008E75FC">
        <w:rPr>
          <w:rFonts w:asciiTheme="minorHAnsi" w:hAnsiTheme="minorHAnsi" w:cstheme="minorHAnsi"/>
          <w:sz w:val="22"/>
          <w:szCs w:val="22"/>
          <w:lang w:val="en-CA"/>
        </w:rPr>
        <w:t>Ms. Fox is exercising the Public Service Commission’s (PSC) authority for the first time as</w:t>
      </w:r>
      <w:r w:rsidR="008E2A83" w:rsidRPr="008E75FC">
        <w:rPr>
          <w:rFonts w:asciiTheme="minorHAnsi" w:hAnsiTheme="minorHAnsi" w:cstheme="minorHAnsi"/>
          <w:sz w:val="22"/>
          <w:szCs w:val="22"/>
          <w:lang w:val="en-CA"/>
        </w:rPr>
        <w:t xml:space="preserve"> Deputy Head</w:t>
      </w:r>
      <w:r w:rsidRPr="008E75FC">
        <w:rPr>
          <w:rFonts w:asciiTheme="minorHAnsi" w:hAnsiTheme="minorHAnsi" w:cstheme="minorHAnsi"/>
          <w:sz w:val="22"/>
          <w:szCs w:val="22"/>
          <w:lang w:val="en-CA"/>
        </w:rPr>
        <w:t xml:space="preserve"> </w:t>
      </w:r>
      <w:r w:rsidR="008E2A83" w:rsidRPr="008E75FC">
        <w:rPr>
          <w:rFonts w:asciiTheme="minorHAnsi" w:hAnsiTheme="minorHAnsi" w:cstheme="minorHAnsi"/>
          <w:sz w:val="22"/>
          <w:szCs w:val="22"/>
          <w:lang w:val="en-CA"/>
        </w:rPr>
        <w:t>(</w:t>
      </w:r>
      <w:r w:rsidRPr="008E75FC">
        <w:rPr>
          <w:rFonts w:asciiTheme="minorHAnsi" w:hAnsiTheme="minorHAnsi" w:cstheme="minorHAnsi"/>
          <w:sz w:val="22"/>
          <w:szCs w:val="22"/>
          <w:lang w:val="en-CA"/>
        </w:rPr>
        <w:t>DH</w:t>
      </w:r>
      <w:r w:rsidR="008E2A83" w:rsidRPr="008E75FC">
        <w:rPr>
          <w:rFonts w:asciiTheme="minorHAnsi" w:hAnsiTheme="minorHAnsi" w:cstheme="minorHAnsi"/>
          <w:sz w:val="22"/>
          <w:szCs w:val="22"/>
          <w:lang w:val="en-CA"/>
        </w:rPr>
        <w:t>)</w:t>
      </w:r>
      <w:r w:rsidRPr="008E75FC">
        <w:rPr>
          <w:rFonts w:asciiTheme="minorHAnsi" w:hAnsiTheme="minorHAnsi" w:cstheme="minorHAnsi"/>
          <w:sz w:val="22"/>
          <w:szCs w:val="22"/>
          <w:lang w:val="en-CA"/>
        </w:rPr>
        <w:t xml:space="preserve">. A copy of the New Direction in Staffing (NDS) highlights for DHs is attached as </w:t>
      </w:r>
      <w:hyperlink w:anchor="Annexe_A" w:history="1">
        <w:r w:rsidRPr="008E75FC">
          <w:rPr>
            <w:rStyle w:val="Hyperlink"/>
            <w:rFonts w:asciiTheme="minorHAnsi" w:hAnsiTheme="minorHAnsi" w:cstheme="minorHAnsi"/>
            <w:sz w:val="22"/>
            <w:szCs w:val="22"/>
            <w:lang w:val="en-CA"/>
          </w:rPr>
          <w:t>Annex A</w:t>
        </w:r>
      </w:hyperlink>
      <w:r w:rsidRPr="008E75FC">
        <w:rPr>
          <w:rFonts w:asciiTheme="minorHAnsi" w:hAnsiTheme="minorHAnsi" w:cstheme="minorHAnsi"/>
          <w:sz w:val="22"/>
          <w:szCs w:val="22"/>
          <w:lang w:val="en-CA"/>
        </w:rPr>
        <w:t>.</w:t>
      </w:r>
    </w:p>
    <w:p w14:paraId="36521D69" w14:textId="77777777" w:rsidR="00972F32" w:rsidRPr="008E75FC" w:rsidRDefault="006B3DDE" w:rsidP="008E2A83">
      <w:pPr>
        <w:pStyle w:val="Heading1"/>
        <w:spacing w:after="120"/>
        <w:rPr>
          <w:lang w:val="en-CA"/>
        </w:rPr>
      </w:pPr>
      <w:r w:rsidRPr="008E75FC">
        <w:rPr>
          <w:lang w:val="en-CA"/>
        </w:rPr>
        <w:t>Organization</w:t>
      </w:r>
      <w:r w:rsidR="00C73191" w:rsidRPr="008E75FC">
        <w:rPr>
          <w:lang w:val="en-CA"/>
        </w:rPr>
        <w:t>al C</w:t>
      </w:r>
      <w:r w:rsidR="007378D3" w:rsidRPr="008E75FC">
        <w:rPr>
          <w:lang w:val="en-CA"/>
        </w:rPr>
        <w:t>ontext</w:t>
      </w:r>
    </w:p>
    <w:p w14:paraId="073F0B5B" w14:textId="77777777" w:rsidR="00972F32" w:rsidRPr="008E75FC" w:rsidRDefault="00AE71A6" w:rsidP="008E2A83">
      <w:pPr>
        <w:pStyle w:val="Heading2"/>
        <w:spacing w:before="120" w:after="120"/>
        <w:rPr>
          <w:u w:val="single"/>
          <w:lang w:val="en-CA"/>
        </w:rPr>
      </w:pPr>
      <w:r w:rsidRPr="008E75FC">
        <w:rPr>
          <w:lang w:val="en-CA"/>
        </w:rPr>
        <w:t>Mandate</w:t>
      </w:r>
    </w:p>
    <w:p w14:paraId="34A8413E" w14:textId="5D84B583" w:rsidR="006C59B5" w:rsidRPr="008E75FC" w:rsidRDefault="00B17077" w:rsidP="008E2A83">
      <w:pPr>
        <w:spacing w:after="120"/>
        <w:rPr>
          <w:rFonts w:asciiTheme="minorHAnsi" w:hAnsiTheme="minorHAnsi" w:cstheme="minorHAnsi"/>
          <w:sz w:val="22"/>
          <w:szCs w:val="22"/>
          <w:lang w:val="en-CA"/>
        </w:rPr>
      </w:pPr>
      <w:r w:rsidRPr="008E75FC">
        <w:rPr>
          <w:rFonts w:asciiTheme="minorHAnsi" w:hAnsiTheme="minorHAnsi" w:cstheme="minorHAnsi"/>
          <w:sz w:val="22"/>
          <w:szCs w:val="22"/>
          <w:lang w:val="en-CA"/>
        </w:rPr>
        <w:t>In August 2017, the Prime Minister announced the dissolution of Indigenous and Northern Affairs Canada (INAC), and the creation of two new departments: Crown-Indigenous Relations and Northern Affairs Canada (CIRNAC) and</w:t>
      </w:r>
      <w:r w:rsidR="004110F1" w:rsidRPr="008E75FC">
        <w:rPr>
          <w:rFonts w:asciiTheme="minorHAnsi" w:hAnsiTheme="minorHAnsi" w:cstheme="minorHAnsi"/>
          <w:sz w:val="22"/>
          <w:szCs w:val="22"/>
          <w:lang w:val="en-CA"/>
        </w:rPr>
        <w:t xml:space="preserve"> Indigenous Services Canada</w:t>
      </w:r>
      <w:r w:rsidRPr="008E75FC">
        <w:rPr>
          <w:rFonts w:asciiTheme="minorHAnsi" w:hAnsiTheme="minorHAnsi" w:cstheme="minorHAnsi"/>
          <w:sz w:val="22"/>
          <w:szCs w:val="22"/>
          <w:lang w:val="en-CA"/>
        </w:rPr>
        <w:t xml:space="preserve"> </w:t>
      </w:r>
      <w:r w:rsidR="004110F1" w:rsidRPr="008E75FC">
        <w:rPr>
          <w:rFonts w:asciiTheme="minorHAnsi" w:hAnsiTheme="minorHAnsi" w:cstheme="minorHAnsi"/>
          <w:sz w:val="22"/>
          <w:szCs w:val="22"/>
          <w:lang w:val="en-CA"/>
        </w:rPr>
        <w:t>(</w:t>
      </w:r>
      <w:r w:rsidRPr="008E75FC">
        <w:rPr>
          <w:rFonts w:asciiTheme="minorHAnsi" w:hAnsiTheme="minorHAnsi" w:cstheme="minorHAnsi"/>
          <w:sz w:val="22"/>
          <w:szCs w:val="22"/>
          <w:lang w:val="en-CA"/>
        </w:rPr>
        <w:t>ISC</w:t>
      </w:r>
      <w:r w:rsidR="004110F1" w:rsidRPr="008E75FC">
        <w:rPr>
          <w:rFonts w:asciiTheme="minorHAnsi" w:hAnsiTheme="minorHAnsi" w:cstheme="minorHAnsi"/>
          <w:sz w:val="22"/>
          <w:szCs w:val="22"/>
          <w:lang w:val="en-CA"/>
        </w:rPr>
        <w:t>)</w:t>
      </w:r>
      <w:r w:rsidRPr="008E75FC">
        <w:rPr>
          <w:rFonts w:asciiTheme="minorHAnsi" w:hAnsiTheme="minorHAnsi" w:cstheme="minorHAnsi"/>
          <w:sz w:val="22"/>
          <w:szCs w:val="22"/>
          <w:lang w:val="en-CA"/>
        </w:rPr>
        <w:t>. The final structure of these two new departments is being developed with an objective to accelerate self-determination, contribute to the closing of socio-economic gaps and advance reconciliation.</w:t>
      </w:r>
    </w:p>
    <w:p w14:paraId="1A65E1BD" w14:textId="4D1C0A83" w:rsidR="0051271B" w:rsidRPr="008E75FC" w:rsidRDefault="006C59B5" w:rsidP="008E2A83">
      <w:pPr>
        <w:spacing w:after="120"/>
        <w:rPr>
          <w:rFonts w:asciiTheme="minorHAnsi" w:hAnsiTheme="minorHAnsi" w:cstheme="minorHAnsi"/>
          <w:sz w:val="22"/>
          <w:szCs w:val="22"/>
          <w:lang w:val="en-CA"/>
        </w:rPr>
      </w:pPr>
      <w:r w:rsidRPr="008E75FC">
        <w:rPr>
          <w:rFonts w:asciiTheme="minorHAnsi" w:hAnsiTheme="minorHAnsi" w:cstheme="minorHAnsi"/>
          <w:sz w:val="22"/>
          <w:szCs w:val="22"/>
          <w:lang w:val="en-CA"/>
        </w:rPr>
        <w:t>On November 30</w:t>
      </w:r>
      <w:r w:rsidR="004110F1" w:rsidRPr="008E75FC">
        <w:rPr>
          <w:rFonts w:asciiTheme="minorHAnsi" w:hAnsiTheme="minorHAnsi" w:cstheme="minorHAnsi"/>
          <w:sz w:val="22"/>
          <w:szCs w:val="22"/>
          <w:lang w:val="en-CA"/>
        </w:rPr>
        <w:t>,</w:t>
      </w:r>
      <w:r w:rsidRPr="008E75FC">
        <w:rPr>
          <w:rFonts w:asciiTheme="minorHAnsi" w:hAnsiTheme="minorHAnsi" w:cstheme="minorHAnsi"/>
          <w:sz w:val="22"/>
          <w:szCs w:val="22"/>
          <w:lang w:val="en-CA"/>
        </w:rPr>
        <w:t xml:space="preserve"> 2017, ISC was created</w:t>
      </w:r>
      <w:r w:rsidR="004110F1" w:rsidRPr="008E75FC">
        <w:rPr>
          <w:rFonts w:asciiTheme="minorHAnsi" w:hAnsiTheme="minorHAnsi" w:cstheme="minorHAnsi"/>
          <w:sz w:val="22"/>
          <w:szCs w:val="22"/>
          <w:lang w:val="en-CA"/>
        </w:rPr>
        <w:t>,</w:t>
      </w:r>
      <w:r w:rsidRPr="008E75FC">
        <w:rPr>
          <w:rFonts w:asciiTheme="minorHAnsi" w:hAnsiTheme="minorHAnsi" w:cstheme="minorHAnsi"/>
          <w:sz w:val="22"/>
          <w:szCs w:val="22"/>
          <w:lang w:val="en-CA"/>
        </w:rPr>
        <w:t xml:space="preserve"> bringing First Nations and Inuit health services (formerly with Health Canada) together with education, essential social services, child and family services, economic development, housing and infrastructure programs from the former INAC. </w:t>
      </w:r>
      <w:r w:rsidR="0051271B" w:rsidRPr="008E75FC">
        <w:rPr>
          <w:rFonts w:asciiTheme="minorHAnsi" w:hAnsiTheme="minorHAnsi" w:cstheme="minorHAnsi"/>
          <w:sz w:val="22"/>
          <w:szCs w:val="22"/>
          <w:lang w:val="en-CA"/>
        </w:rPr>
        <w:t xml:space="preserve">ISC has a mandate to support Indigenous communities to deliver services and programs and address the unacceptable socio-economic conditions that persist today. </w:t>
      </w:r>
    </w:p>
    <w:p w14:paraId="7BA21A7B" w14:textId="77777777" w:rsidR="008E2A83" w:rsidRPr="008E75FC" w:rsidRDefault="0051271B" w:rsidP="008E2A83">
      <w:pPr>
        <w:spacing w:after="120"/>
        <w:rPr>
          <w:rFonts w:asciiTheme="minorHAnsi" w:hAnsiTheme="minorHAnsi" w:cstheme="minorHAnsi"/>
          <w:sz w:val="22"/>
          <w:szCs w:val="22"/>
          <w:lang w:val="en-CA"/>
        </w:rPr>
        <w:sectPr w:rsidR="008E2A83" w:rsidRPr="008E75FC" w:rsidSect="005D4281">
          <w:headerReference w:type="default" r:id="rId8"/>
          <w:footerReference w:type="default" r:id="rId9"/>
          <w:footerReference w:type="first" r:id="rId10"/>
          <w:pgSz w:w="12240" w:h="15840"/>
          <w:pgMar w:top="1440" w:right="1080" w:bottom="1440" w:left="1080" w:header="709" w:footer="284" w:gutter="0"/>
          <w:cols w:space="708"/>
          <w:titlePg/>
          <w:docGrid w:linePitch="360"/>
        </w:sectPr>
      </w:pPr>
      <w:r w:rsidRPr="008E75FC">
        <w:rPr>
          <w:rFonts w:asciiTheme="minorHAnsi" w:hAnsiTheme="minorHAnsi" w:cstheme="minorHAnsi"/>
          <w:sz w:val="22"/>
          <w:szCs w:val="22"/>
          <w:lang w:val="en-CA"/>
        </w:rPr>
        <w:t xml:space="preserve">To support this mandate, we will continue to focus on </w:t>
      </w:r>
      <w:r w:rsidR="00E3652C" w:rsidRPr="008E75FC">
        <w:rPr>
          <w:rFonts w:asciiTheme="minorHAnsi" w:hAnsiTheme="minorHAnsi" w:cstheme="minorHAnsi"/>
          <w:sz w:val="22"/>
          <w:szCs w:val="22"/>
          <w:lang w:val="en-CA"/>
        </w:rPr>
        <w:t>five</w:t>
      </w:r>
      <w:r w:rsidRPr="008E75FC">
        <w:rPr>
          <w:rFonts w:asciiTheme="minorHAnsi" w:hAnsiTheme="minorHAnsi" w:cstheme="minorHAnsi"/>
          <w:sz w:val="22"/>
          <w:szCs w:val="22"/>
          <w:lang w:val="en-CA"/>
        </w:rPr>
        <w:t xml:space="preserve"> key priority areas: keeping children and families together, supporting quality education, improving health outcomes, building reliable infrastructure and enabling economic prosperity. </w:t>
      </w:r>
      <w:r w:rsidR="00785AAF" w:rsidRPr="008E75FC">
        <w:rPr>
          <w:rFonts w:asciiTheme="minorHAnsi" w:hAnsiTheme="minorHAnsi" w:cstheme="minorHAnsi"/>
          <w:sz w:val="22"/>
          <w:szCs w:val="22"/>
          <w:lang w:val="en-CA"/>
        </w:rPr>
        <w:t>ISC has</w:t>
      </w:r>
      <w:r w:rsidRPr="008E75FC">
        <w:rPr>
          <w:rFonts w:asciiTheme="minorHAnsi" w:hAnsiTheme="minorHAnsi" w:cstheme="minorHAnsi"/>
          <w:sz w:val="22"/>
          <w:szCs w:val="22"/>
          <w:lang w:val="en-CA"/>
        </w:rPr>
        <w:t xml:space="preserve"> set an ambitious agenda in partnership with Indigenous peoples.</w:t>
      </w:r>
      <w:r w:rsidR="00785AAF" w:rsidRPr="008E75FC">
        <w:rPr>
          <w:rFonts w:asciiTheme="minorHAnsi" w:hAnsiTheme="minorHAnsi" w:cstheme="minorHAnsi"/>
          <w:sz w:val="22"/>
          <w:szCs w:val="22"/>
          <w:lang w:val="en-CA"/>
        </w:rPr>
        <w:t xml:space="preserve"> In delivering on these </w:t>
      </w:r>
      <w:r w:rsidR="00E3652C" w:rsidRPr="008E75FC">
        <w:rPr>
          <w:rFonts w:asciiTheme="minorHAnsi" w:hAnsiTheme="minorHAnsi" w:cstheme="minorHAnsi"/>
          <w:sz w:val="22"/>
          <w:szCs w:val="22"/>
          <w:lang w:val="en-CA"/>
        </w:rPr>
        <w:t>five</w:t>
      </w:r>
      <w:r w:rsidR="00785AAF" w:rsidRPr="008E75FC">
        <w:rPr>
          <w:rFonts w:asciiTheme="minorHAnsi" w:hAnsiTheme="minorHAnsi" w:cstheme="minorHAnsi"/>
          <w:sz w:val="22"/>
          <w:szCs w:val="22"/>
          <w:lang w:val="en-CA"/>
        </w:rPr>
        <w:t xml:space="preserve"> key priorities, with full partnership with Indigenous communities, ISC's ultimate goal is ensuring that the design, delivery and control of services are led by Indigenous peoples for Indigenous peoples.</w:t>
      </w:r>
    </w:p>
    <w:p w14:paraId="4437A166" w14:textId="77777777" w:rsidR="00972F32" w:rsidRPr="008E75FC" w:rsidRDefault="00AE71A6" w:rsidP="008E2A83">
      <w:pPr>
        <w:pStyle w:val="Heading2"/>
        <w:spacing w:after="120"/>
        <w:rPr>
          <w:u w:val="single"/>
          <w:lang w:val="en-CA"/>
        </w:rPr>
      </w:pPr>
      <w:r w:rsidRPr="008E75FC">
        <w:rPr>
          <w:lang w:val="en-CA"/>
        </w:rPr>
        <w:lastRenderedPageBreak/>
        <w:t>Challenges</w:t>
      </w:r>
    </w:p>
    <w:p w14:paraId="50D85300" w14:textId="5277371B" w:rsidR="0021247F" w:rsidRPr="008E75FC" w:rsidRDefault="0021247F" w:rsidP="008E2A83">
      <w:pPr>
        <w:pStyle w:val="NoSpacing"/>
        <w:spacing w:after="120"/>
        <w:rPr>
          <w:rFonts w:asciiTheme="minorHAnsi" w:hAnsiTheme="minorHAnsi" w:cstheme="minorHAnsi"/>
          <w:sz w:val="22"/>
          <w:szCs w:val="22"/>
          <w:lang w:val="en-CA"/>
        </w:rPr>
      </w:pPr>
      <w:r w:rsidRPr="008E75FC">
        <w:rPr>
          <w:rFonts w:asciiTheme="minorHAnsi" w:hAnsiTheme="minorHAnsi" w:cstheme="minorHAnsi"/>
          <w:sz w:val="22"/>
          <w:szCs w:val="22"/>
          <w:lang w:val="en-CA"/>
        </w:rPr>
        <w:t>ISC's mandate is complex and requires alignment with various partners. The complexity of the strategic landscape, the diversity of perspectives of partners and the extent of operational and cultural changes expose the Department to some important risks related to policy implementation, internal service capacity and management of human and financial resources.</w:t>
      </w:r>
    </w:p>
    <w:p w14:paraId="2099213F" w14:textId="084E74B3" w:rsidR="0021247F" w:rsidRPr="008E75FC" w:rsidRDefault="00703771" w:rsidP="008E2A83">
      <w:pPr>
        <w:spacing w:after="120"/>
        <w:rPr>
          <w:rFonts w:asciiTheme="minorHAnsi" w:hAnsiTheme="minorHAnsi" w:cstheme="minorHAnsi"/>
          <w:sz w:val="22"/>
          <w:szCs w:val="22"/>
          <w:lang w:val="en-CA"/>
        </w:rPr>
      </w:pPr>
      <w:r w:rsidRPr="008E75FC">
        <w:rPr>
          <w:rFonts w:asciiTheme="minorHAnsi" w:hAnsiTheme="minorHAnsi" w:cstheme="minorHAnsi"/>
          <w:sz w:val="22"/>
          <w:szCs w:val="22"/>
          <w:lang w:val="en-CA"/>
        </w:rPr>
        <w:t xml:space="preserve">As ISC is </w:t>
      </w:r>
      <w:r w:rsidR="00B07FC6" w:rsidRPr="008E75FC">
        <w:rPr>
          <w:rFonts w:asciiTheme="minorHAnsi" w:hAnsiTheme="minorHAnsi" w:cstheme="minorHAnsi"/>
          <w:sz w:val="22"/>
          <w:szCs w:val="22"/>
          <w:lang w:val="en-CA"/>
        </w:rPr>
        <w:t>made up</w:t>
      </w:r>
      <w:r w:rsidRPr="008E75FC">
        <w:rPr>
          <w:rFonts w:asciiTheme="minorHAnsi" w:hAnsiTheme="minorHAnsi" w:cstheme="minorHAnsi"/>
          <w:sz w:val="22"/>
          <w:szCs w:val="22"/>
          <w:lang w:val="en-CA"/>
        </w:rPr>
        <w:t xml:space="preserve"> of former employees </w:t>
      </w:r>
      <w:r w:rsidR="00B52B83" w:rsidRPr="008E75FC">
        <w:rPr>
          <w:rFonts w:asciiTheme="minorHAnsi" w:hAnsiTheme="minorHAnsi" w:cstheme="minorHAnsi"/>
          <w:sz w:val="22"/>
          <w:szCs w:val="22"/>
          <w:lang w:val="en-CA"/>
        </w:rPr>
        <w:t xml:space="preserve">of both Health Canada and INAC in addition to </w:t>
      </w:r>
      <w:r w:rsidR="00F81A98" w:rsidRPr="008E75FC">
        <w:rPr>
          <w:rFonts w:asciiTheme="minorHAnsi" w:hAnsiTheme="minorHAnsi" w:cstheme="minorHAnsi"/>
          <w:sz w:val="22"/>
          <w:szCs w:val="22"/>
          <w:lang w:val="en-CA"/>
        </w:rPr>
        <w:t>new hires</w:t>
      </w:r>
      <w:r w:rsidR="00383A13" w:rsidRPr="008E75FC">
        <w:rPr>
          <w:rFonts w:asciiTheme="minorHAnsi" w:hAnsiTheme="minorHAnsi" w:cstheme="minorHAnsi"/>
          <w:sz w:val="22"/>
          <w:szCs w:val="22"/>
          <w:lang w:val="en-CA"/>
        </w:rPr>
        <w:t xml:space="preserve">, the </w:t>
      </w:r>
      <w:r w:rsidR="0041510C" w:rsidRPr="008E75FC">
        <w:rPr>
          <w:rFonts w:asciiTheme="minorHAnsi" w:hAnsiTheme="minorHAnsi" w:cstheme="minorHAnsi"/>
          <w:sz w:val="22"/>
          <w:szCs w:val="22"/>
          <w:lang w:val="en-CA"/>
        </w:rPr>
        <w:t>organization</w:t>
      </w:r>
      <w:r w:rsidRPr="008E75FC">
        <w:rPr>
          <w:rFonts w:asciiTheme="minorHAnsi" w:hAnsiTheme="minorHAnsi" w:cstheme="minorHAnsi"/>
          <w:sz w:val="22"/>
          <w:szCs w:val="22"/>
          <w:lang w:val="en-CA"/>
        </w:rPr>
        <w:t xml:space="preserve"> is facing some resistance to </w:t>
      </w:r>
      <w:r w:rsidR="00F81A98" w:rsidRPr="008E75FC">
        <w:rPr>
          <w:rFonts w:asciiTheme="minorHAnsi" w:hAnsiTheme="minorHAnsi" w:cstheme="minorHAnsi"/>
          <w:sz w:val="22"/>
          <w:szCs w:val="22"/>
          <w:lang w:val="en-CA"/>
        </w:rPr>
        <w:t>change</w:t>
      </w:r>
      <w:r w:rsidRPr="008E75FC">
        <w:rPr>
          <w:rFonts w:asciiTheme="minorHAnsi" w:hAnsiTheme="minorHAnsi" w:cstheme="minorHAnsi"/>
          <w:sz w:val="22"/>
          <w:szCs w:val="22"/>
          <w:lang w:val="en-CA"/>
        </w:rPr>
        <w:t xml:space="preserve"> and</w:t>
      </w:r>
      <w:r w:rsidR="00B52B83" w:rsidRPr="008E75FC">
        <w:rPr>
          <w:rFonts w:asciiTheme="minorHAnsi" w:hAnsiTheme="minorHAnsi" w:cstheme="minorHAnsi"/>
          <w:sz w:val="22"/>
          <w:szCs w:val="22"/>
          <w:lang w:val="en-CA"/>
        </w:rPr>
        <w:t xml:space="preserve"> to</w:t>
      </w:r>
      <w:r w:rsidRPr="008E75FC">
        <w:rPr>
          <w:rFonts w:asciiTheme="minorHAnsi" w:hAnsiTheme="minorHAnsi" w:cstheme="minorHAnsi"/>
          <w:sz w:val="22"/>
          <w:szCs w:val="22"/>
          <w:lang w:val="en-CA"/>
        </w:rPr>
        <w:t xml:space="preserve"> </w:t>
      </w:r>
      <w:r w:rsidR="00F81A98" w:rsidRPr="008E75FC">
        <w:rPr>
          <w:rFonts w:asciiTheme="minorHAnsi" w:hAnsiTheme="minorHAnsi" w:cstheme="minorHAnsi"/>
          <w:sz w:val="22"/>
          <w:szCs w:val="22"/>
          <w:lang w:val="en-CA"/>
        </w:rPr>
        <w:t xml:space="preserve">the </w:t>
      </w:r>
      <w:r w:rsidRPr="008E75FC">
        <w:rPr>
          <w:rFonts w:asciiTheme="minorHAnsi" w:hAnsiTheme="minorHAnsi" w:cstheme="minorHAnsi"/>
          <w:sz w:val="22"/>
          <w:szCs w:val="22"/>
          <w:lang w:val="en-CA"/>
        </w:rPr>
        <w:t xml:space="preserve">measures taken to restructure and standardize </w:t>
      </w:r>
      <w:r w:rsidR="00995787" w:rsidRPr="008E75FC">
        <w:rPr>
          <w:rFonts w:asciiTheme="minorHAnsi" w:hAnsiTheme="minorHAnsi" w:cstheme="minorHAnsi"/>
          <w:sz w:val="22"/>
          <w:szCs w:val="22"/>
          <w:lang w:val="en-CA"/>
        </w:rPr>
        <w:t>its human resources services. In November</w:t>
      </w:r>
      <w:r w:rsidR="00285007" w:rsidRPr="008E75FC">
        <w:rPr>
          <w:rFonts w:asciiTheme="minorHAnsi" w:hAnsiTheme="minorHAnsi" w:cstheme="minorHAnsi"/>
          <w:sz w:val="22"/>
          <w:szCs w:val="22"/>
          <w:lang w:val="en-CA"/>
        </w:rPr>
        <w:t xml:space="preserve"> 2019, the PSC worked with ISC’s</w:t>
      </w:r>
      <w:r w:rsidR="00995787" w:rsidRPr="008E75FC">
        <w:rPr>
          <w:rFonts w:asciiTheme="minorHAnsi" w:hAnsiTheme="minorHAnsi" w:cstheme="minorHAnsi"/>
          <w:sz w:val="22"/>
          <w:szCs w:val="22"/>
          <w:lang w:val="en-CA"/>
        </w:rPr>
        <w:t xml:space="preserve"> HR </w:t>
      </w:r>
      <w:r w:rsidR="00383A13" w:rsidRPr="008E75FC">
        <w:rPr>
          <w:rFonts w:asciiTheme="minorHAnsi" w:hAnsiTheme="minorHAnsi" w:cstheme="minorHAnsi"/>
          <w:sz w:val="22"/>
          <w:szCs w:val="22"/>
          <w:lang w:val="en-CA"/>
        </w:rPr>
        <w:t>S</w:t>
      </w:r>
      <w:r w:rsidR="00995787" w:rsidRPr="008E75FC">
        <w:rPr>
          <w:rFonts w:asciiTheme="minorHAnsi" w:hAnsiTheme="minorHAnsi" w:cstheme="minorHAnsi"/>
          <w:sz w:val="22"/>
          <w:szCs w:val="22"/>
          <w:lang w:val="en-CA"/>
        </w:rPr>
        <w:t>ervices</w:t>
      </w:r>
      <w:r w:rsidR="00285007" w:rsidRPr="008E75FC">
        <w:rPr>
          <w:rFonts w:asciiTheme="minorHAnsi" w:hAnsiTheme="minorHAnsi" w:cstheme="minorHAnsi"/>
          <w:sz w:val="22"/>
          <w:szCs w:val="22"/>
          <w:lang w:val="en-CA"/>
        </w:rPr>
        <w:t xml:space="preserve"> team</w:t>
      </w:r>
      <w:r w:rsidR="00995787" w:rsidRPr="008E75FC">
        <w:rPr>
          <w:rFonts w:asciiTheme="minorHAnsi" w:hAnsiTheme="minorHAnsi" w:cstheme="minorHAnsi"/>
          <w:sz w:val="22"/>
          <w:szCs w:val="22"/>
          <w:lang w:val="en-CA"/>
        </w:rPr>
        <w:t xml:space="preserve"> to </w:t>
      </w:r>
      <w:r w:rsidR="00B52B83" w:rsidRPr="008E75FC">
        <w:rPr>
          <w:rFonts w:asciiTheme="minorHAnsi" w:hAnsiTheme="minorHAnsi" w:cstheme="minorHAnsi"/>
          <w:sz w:val="22"/>
          <w:szCs w:val="22"/>
          <w:lang w:val="en-CA"/>
        </w:rPr>
        <w:t>provide</w:t>
      </w:r>
      <w:r w:rsidR="00976223" w:rsidRPr="008E75FC">
        <w:rPr>
          <w:rFonts w:asciiTheme="minorHAnsi" w:hAnsiTheme="minorHAnsi" w:cstheme="minorHAnsi"/>
          <w:sz w:val="22"/>
          <w:szCs w:val="22"/>
          <w:lang w:val="en-CA"/>
        </w:rPr>
        <w:t xml:space="preserve"> </w:t>
      </w:r>
      <w:r w:rsidR="00995787" w:rsidRPr="008E75FC">
        <w:rPr>
          <w:rFonts w:asciiTheme="minorHAnsi" w:hAnsiTheme="minorHAnsi" w:cstheme="minorHAnsi"/>
          <w:sz w:val="22"/>
          <w:szCs w:val="22"/>
          <w:lang w:val="en-CA"/>
        </w:rPr>
        <w:t>information sessions on the N</w:t>
      </w:r>
      <w:r w:rsidR="004F25D7" w:rsidRPr="008E75FC">
        <w:rPr>
          <w:rFonts w:asciiTheme="minorHAnsi" w:hAnsiTheme="minorHAnsi" w:cstheme="minorHAnsi"/>
          <w:sz w:val="22"/>
          <w:szCs w:val="22"/>
          <w:lang w:val="en-CA"/>
        </w:rPr>
        <w:t xml:space="preserve">ew </w:t>
      </w:r>
      <w:r w:rsidR="00995787" w:rsidRPr="008E75FC">
        <w:rPr>
          <w:rFonts w:asciiTheme="minorHAnsi" w:hAnsiTheme="minorHAnsi" w:cstheme="minorHAnsi"/>
          <w:sz w:val="22"/>
          <w:szCs w:val="22"/>
          <w:lang w:val="en-CA"/>
        </w:rPr>
        <w:t>D</w:t>
      </w:r>
      <w:r w:rsidR="004F25D7" w:rsidRPr="008E75FC">
        <w:rPr>
          <w:rFonts w:asciiTheme="minorHAnsi" w:hAnsiTheme="minorHAnsi" w:cstheme="minorHAnsi"/>
          <w:sz w:val="22"/>
          <w:szCs w:val="22"/>
          <w:lang w:val="en-CA"/>
        </w:rPr>
        <w:t xml:space="preserve">irection in </w:t>
      </w:r>
      <w:r w:rsidR="00995787" w:rsidRPr="008E75FC">
        <w:rPr>
          <w:rFonts w:asciiTheme="minorHAnsi" w:hAnsiTheme="minorHAnsi" w:cstheme="minorHAnsi"/>
          <w:sz w:val="22"/>
          <w:szCs w:val="22"/>
          <w:lang w:val="en-CA"/>
        </w:rPr>
        <w:t>S</w:t>
      </w:r>
      <w:r w:rsidR="004F25D7" w:rsidRPr="008E75FC">
        <w:rPr>
          <w:rFonts w:asciiTheme="minorHAnsi" w:hAnsiTheme="minorHAnsi" w:cstheme="minorHAnsi"/>
          <w:sz w:val="22"/>
          <w:szCs w:val="22"/>
          <w:lang w:val="en-CA"/>
        </w:rPr>
        <w:t>taffing</w:t>
      </w:r>
      <w:r w:rsidR="00995787" w:rsidRPr="008E75FC">
        <w:rPr>
          <w:rFonts w:asciiTheme="minorHAnsi" w:hAnsiTheme="minorHAnsi" w:cstheme="minorHAnsi"/>
          <w:sz w:val="22"/>
          <w:szCs w:val="22"/>
          <w:lang w:val="en-CA"/>
        </w:rPr>
        <w:t xml:space="preserve"> </w:t>
      </w:r>
      <w:r w:rsidR="00B52B83" w:rsidRPr="008E75FC">
        <w:rPr>
          <w:rFonts w:asciiTheme="minorHAnsi" w:hAnsiTheme="minorHAnsi" w:cstheme="minorHAnsi"/>
          <w:sz w:val="22"/>
          <w:szCs w:val="22"/>
          <w:lang w:val="en-CA"/>
        </w:rPr>
        <w:t>to</w:t>
      </w:r>
      <w:r w:rsidR="00995787" w:rsidRPr="008E75FC">
        <w:rPr>
          <w:rFonts w:asciiTheme="minorHAnsi" w:hAnsiTheme="minorHAnsi" w:cstheme="minorHAnsi"/>
          <w:sz w:val="22"/>
          <w:szCs w:val="22"/>
          <w:lang w:val="en-CA"/>
        </w:rPr>
        <w:t xml:space="preserve"> </w:t>
      </w:r>
      <w:r w:rsidR="00B07FC6" w:rsidRPr="008E75FC">
        <w:rPr>
          <w:rFonts w:asciiTheme="minorHAnsi" w:hAnsiTheme="minorHAnsi" w:cstheme="minorHAnsi"/>
          <w:sz w:val="22"/>
          <w:szCs w:val="22"/>
          <w:lang w:val="en-CA"/>
        </w:rPr>
        <w:t xml:space="preserve">Atlantic Region </w:t>
      </w:r>
      <w:r w:rsidR="00995787" w:rsidRPr="008E75FC">
        <w:rPr>
          <w:rFonts w:asciiTheme="minorHAnsi" w:hAnsiTheme="minorHAnsi" w:cstheme="minorHAnsi"/>
          <w:sz w:val="22"/>
          <w:szCs w:val="22"/>
          <w:lang w:val="en-CA"/>
        </w:rPr>
        <w:t>managers</w:t>
      </w:r>
      <w:r w:rsidR="00B07FC6" w:rsidRPr="008E75FC">
        <w:rPr>
          <w:rFonts w:asciiTheme="minorHAnsi" w:hAnsiTheme="minorHAnsi" w:cstheme="minorHAnsi"/>
          <w:sz w:val="22"/>
          <w:szCs w:val="22"/>
          <w:lang w:val="en-CA"/>
        </w:rPr>
        <w:t xml:space="preserve"> and employees</w:t>
      </w:r>
      <w:r w:rsidR="00995787" w:rsidRPr="008E75FC">
        <w:rPr>
          <w:rFonts w:asciiTheme="minorHAnsi" w:hAnsiTheme="minorHAnsi" w:cstheme="minorHAnsi"/>
          <w:sz w:val="22"/>
          <w:szCs w:val="22"/>
          <w:lang w:val="en-CA"/>
        </w:rPr>
        <w:t xml:space="preserve">. The PSC has offered </w:t>
      </w:r>
      <w:r w:rsidR="00F81A98" w:rsidRPr="008E75FC">
        <w:rPr>
          <w:rFonts w:asciiTheme="minorHAnsi" w:hAnsiTheme="minorHAnsi" w:cstheme="minorHAnsi"/>
          <w:sz w:val="22"/>
          <w:szCs w:val="22"/>
          <w:lang w:val="en-CA"/>
        </w:rPr>
        <w:t>to help</w:t>
      </w:r>
      <w:r w:rsidR="00B52B83" w:rsidRPr="008E75FC">
        <w:rPr>
          <w:rFonts w:asciiTheme="minorHAnsi" w:hAnsiTheme="minorHAnsi" w:cstheme="minorHAnsi"/>
          <w:sz w:val="22"/>
          <w:szCs w:val="22"/>
          <w:lang w:val="en-CA"/>
        </w:rPr>
        <w:t xml:space="preserve"> connect with</w:t>
      </w:r>
      <w:r w:rsidR="00F81A98" w:rsidRPr="008E75FC">
        <w:rPr>
          <w:rFonts w:asciiTheme="minorHAnsi" w:hAnsiTheme="minorHAnsi" w:cstheme="minorHAnsi"/>
          <w:sz w:val="22"/>
          <w:szCs w:val="22"/>
          <w:lang w:val="en-CA"/>
        </w:rPr>
        <w:t xml:space="preserve"> other regions as well.</w:t>
      </w:r>
    </w:p>
    <w:p w14:paraId="1BD92664" w14:textId="77777777" w:rsidR="00972F32" w:rsidRPr="008E75FC" w:rsidRDefault="00AE71A6" w:rsidP="008E2A83">
      <w:pPr>
        <w:pStyle w:val="Heading2"/>
        <w:spacing w:after="120"/>
        <w:rPr>
          <w:rFonts w:ascii="Arial" w:hAnsi="Arial" w:cs="Arial"/>
          <w:u w:val="single"/>
          <w:lang w:val="en-CA"/>
        </w:rPr>
      </w:pPr>
      <w:r w:rsidRPr="008E75FC">
        <w:rPr>
          <w:rFonts w:ascii="Arial" w:hAnsi="Arial" w:cs="Arial"/>
          <w:lang w:val="en-CA"/>
        </w:rPr>
        <w:t>Experimentation</w:t>
      </w:r>
    </w:p>
    <w:p w14:paraId="67A62640" w14:textId="3C46EB98" w:rsidR="00B8723B" w:rsidRPr="008E75FC" w:rsidRDefault="00976223" w:rsidP="008E2A83">
      <w:pPr>
        <w:spacing w:after="120"/>
        <w:rPr>
          <w:rFonts w:asciiTheme="minorHAnsi" w:hAnsiTheme="minorHAnsi" w:cstheme="minorHAnsi"/>
          <w:iCs/>
          <w:sz w:val="22"/>
          <w:szCs w:val="22"/>
          <w:lang w:val="en-CA"/>
        </w:rPr>
      </w:pPr>
      <w:r w:rsidRPr="008E75FC">
        <w:rPr>
          <w:rFonts w:asciiTheme="minorHAnsi" w:hAnsiTheme="minorHAnsi" w:cstheme="minorHAnsi"/>
          <w:sz w:val="22"/>
          <w:szCs w:val="22"/>
          <w:lang w:val="en-CA"/>
        </w:rPr>
        <w:t xml:space="preserve">ISC is using social media in its recruitment approach. Posting job applications to Facebook (in particular) </w:t>
      </w:r>
      <w:r w:rsidR="00B52B83" w:rsidRPr="008E75FC">
        <w:rPr>
          <w:rFonts w:asciiTheme="minorHAnsi" w:hAnsiTheme="minorHAnsi" w:cstheme="minorHAnsi"/>
          <w:sz w:val="22"/>
          <w:szCs w:val="22"/>
          <w:lang w:val="en-CA"/>
        </w:rPr>
        <w:t xml:space="preserve">appears </w:t>
      </w:r>
      <w:r w:rsidRPr="008E75FC">
        <w:rPr>
          <w:rFonts w:asciiTheme="minorHAnsi" w:hAnsiTheme="minorHAnsi" w:cstheme="minorHAnsi"/>
          <w:sz w:val="22"/>
          <w:szCs w:val="22"/>
          <w:lang w:val="en-CA"/>
        </w:rPr>
        <w:t xml:space="preserve">to be </w:t>
      </w:r>
      <w:r w:rsidR="00A22090" w:rsidRPr="008E75FC">
        <w:rPr>
          <w:rFonts w:asciiTheme="minorHAnsi" w:hAnsiTheme="minorHAnsi" w:cstheme="minorHAnsi"/>
          <w:sz w:val="22"/>
          <w:szCs w:val="22"/>
          <w:lang w:val="en-CA"/>
        </w:rPr>
        <w:t xml:space="preserve">boosting </w:t>
      </w:r>
      <w:r w:rsidRPr="008E75FC">
        <w:rPr>
          <w:rFonts w:asciiTheme="minorHAnsi" w:hAnsiTheme="minorHAnsi" w:cstheme="minorHAnsi"/>
          <w:sz w:val="22"/>
          <w:szCs w:val="22"/>
          <w:lang w:val="en-CA"/>
        </w:rPr>
        <w:t xml:space="preserve">visibility and </w:t>
      </w:r>
      <w:r w:rsidR="00A22090" w:rsidRPr="008E75FC">
        <w:rPr>
          <w:rFonts w:asciiTheme="minorHAnsi" w:hAnsiTheme="minorHAnsi" w:cstheme="minorHAnsi"/>
          <w:sz w:val="22"/>
          <w:szCs w:val="22"/>
          <w:lang w:val="en-CA"/>
        </w:rPr>
        <w:t xml:space="preserve">increasing </w:t>
      </w:r>
      <w:r w:rsidRPr="008E75FC">
        <w:rPr>
          <w:rFonts w:asciiTheme="minorHAnsi" w:hAnsiTheme="minorHAnsi" w:cstheme="minorHAnsi"/>
          <w:sz w:val="22"/>
          <w:szCs w:val="22"/>
          <w:lang w:val="en-CA"/>
        </w:rPr>
        <w:t>applications from Indigenous communities.</w:t>
      </w:r>
      <w:r w:rsidR="00B8723B" w:rsidRPr="008E75FC">
        <w:rPr>
          <w:rFonts w:asciiTheme="minorHAnsi" w:hAnsiTheme="minorHAnsi" w:cstheme="minorHAnsi"/>
          <w:sz w:val="22"/>
          <w:szCs w:val="22"/>
          <w:lang w:val="en-CA"/>
        </w:rPr>
        <w:t xml:space="preserve"> </w:t>
      </w:r>
      <w:r w:rsidR="00383A13" w:rsidRPr="008E75FC">
        <w:rPr>
          <w:rFonts w:asciiTheme="minorHAnsi" w:hAnsiTheme="minorHAnsi" w:cstheme="minorHAnsi"/>
          <w:sz w:val="22"/>
          <w:szCs w:val="22"/>
          <w:lang w:val="en-CA"/>
        </w:rPr>
        <w:t xml:space="preserve">The </w:t>
      </w:r>
      <w:r w:rsidR="0041510C" w:rsidRPr="008E75FC">
        <w:rPr>
          <w:rFonts w:asciiTheme="minorHAnsi" w:hAnsiTheme="minorHAnsi" w:cstheme="minorHAnsi"/>
          <w:sz w:val="22"/>
          <w:szCs w:val="22"/>
          <w:lang w:val="en-CA"/>
        </w:rPr>
        <w:t xml:space="preserve">organization </w:t>
      </w:r>
      <w:r w:rsidR="00E6031E" w:rsidRPr="008E75FC">
        <w:rPr>
          <w:rFonts w:asciiTheme="minorHAnsi" w:hAnsiTheme="minorHAnsi" w:cstheme="minorHAnsi"/>
          <w:sz w:val="22"/>
          <w:szCs w:val="22"/>
          <w:lang w:val="en-CA"/>
        </w:rPr>
        <w:t>is looking into different platforms for recording interv</w:t>
      </w:r>
      <w:r w:rsidR="00EA4BF5" w:rsidRPr="008E75FC">
        <w:rPr>
          <w:rFonts w:asciiTheme="minorHAnsi" w:hAnsiTheme="minorHAnsi" w:cstheme="minorHAnsi"/>
          <w:sz w:val="22"/>
          <w:szCs w:val="22"/>
          <w:lang w:val="en-CA"/>
        </w:rPr>
        <w:t xml:space="preserve">iews, including </w:t>
      </w:r>
      <w:proofErr w:type="spellStart"/>
      <w:r w:rsidR="00285007" w:rsidRPr="008E75FC">
        <w:rPr>
          <w:rFonts w:asciiTheme="minorHAnsi" w:hAnsiTheme="minorHAnsi" w:cstheme="minorHAnsi"/>
          <w:iCs/>
          <w:sz w:val="22"/>
          <w:szCs w:val="22"/>
          <w:lang w:val="en-CA"/>
        </w:rPr>
        <w:t>VidCruiter</w:t>
      </w:r>
      <w:proofErr w:type="spellEnd"/>
      <w:r w:rsidR="00285007" w:rsidRPr="008E75FC">
        <w:rPr>
          <w:rFonts w:asciiTheme="minorHAnsi" w:hAnsiTheme="minorHAnsi" w:cstheme="minorHAnsi"/>
          <w:iCs/>
          <w:sz w:val="22"/>
          <w:szCs w:val="22"/>
          <w:lang w:val="en-CA"/>
        </w:rPr>
        <w:t xml:space="preserve">, </w:t>
      </w:r>
      <w:r w:rsidR="00EA4BF5" w:rsidRPr="008E75FC">
        <w:rPr>
          <w:rFonts w:asciiTheme="minorHAnsi" w:hAnsiTheme="minorHAnsi" w:cstheme="minorHAnsi"/>
          <w:iCs/>
          <w:sz w:val="22"/>
          <w:szCs w:val="22"/>
          <w:lang w:val="en-CA"/>
        </w:rPr>
        <w:t xml:space="preserve">which </w:t>
      </w:r>
      <w:r w:rsidR="00B52B83" w:rsidRPr="008E75FC">
        <w:rPr>
          <w:rFonts w:asciiTheme="minorHAnsi" w:hAnsiTheme="minorHAnsi" w:cstheme="minorHAnsi"/>
          <w:iCs/>
          <w:sz w:val="22"/>
          <w:szCs w:val="22"/>
          <w:lang w:val="en-CA"/>
        </w:rPr>
        <w:t>has been analyzed and deemed rather costly</w:t>
      </w:r>
      <w:r w:rsidR="00EA4BF5" w:rsidRPr="008E75FC">
        <w:rPr>
          <w:rFonts w:asciiTheme="minorHAnsi" w:hAnsiTheme="minorHAnsi" w:cstheme="minorHAnsi"/>
          <w:iCs/>
          <w:sz w:val="22"/>
          <w:szCs w:val="22"/>
          <w:lang w:val="en-CA"/>
        </w:rPr>
        <w:t>. O</w:t>
      </w:r>
      <w:r w:rsidR="00E6031E" w:rsidRPr="008E75FC">
        <w:rPr>
          <w:rFonts w:asciiTheme="minorHAnsi" w:hAnsiTheme="minorHAnsi" w:cstheme="minorHAnsi"/>
          <w:iCs/>
          <w:sz w:val="22"/>
          <w:szCs w:val="22"/>
          <w:lang w:val="en-CA"/>
        </w:rPr>
        <w:t xml:space="preserve">ther alternatives are being considered. </w:t>
      </w:r>
    </w:p>
    <w:p w14:paraId="2FDAA05C" w14:textId="2BACB782" w:rsidR="00B8723B" w:rsidRPr="008E75FC" w:rsidRDefault="00285007" w:rsidP="008E2A83">
      <w:pPr>
        <w:spacing w:after="120"/>
        <w:rPr>
          <w:rFonts w:asciiTheme="minorHAnsi" w:hAnsiTheme="minorHAnsi" w:cstheme="minorHAnsi"/>
          <w:iCs/>
          <w:sz w:val="22"/>
          <w:szCs w:val="22"/>
          <w:lang w:val="en-CA"/>
        </w:rPr>
      </w:pPr>
      <w:r w:rsidRPr="008E75FC">
        <w:rPr>
          <w:rFonts w:asciiTheme="minorHAnsi" w:hAnsiTheme="minorHAnsi" w:cstheme="minorHAnsi"/>
          <w:iCs/>
          <w:sz w:val="22"/>
          <w:szCs w:val="22"/>
          <w:lang w:val="en-CA"/>
        </w:rPr>
        <w:t>F</w:t>
      </w:r>
      <w:r w:rsidR="00DB0D0C" w:rsidRPr="008E75FC">
        <w:rPr>
          <w:rFonts w:asciiTheme="minorHAnsi" w:hAnsiTheme="minorHAnsi" w:cstheme="minorHAnsi"/>
          <w:iCs/>
          <w:sz w:val="22"/>
          <w:szCs w:val="22"/>
          <w:lang w:val="en-CA"/>
        </w:rPr>
        <w:t>or second-language evaluation</w:t>
      </w:r>
      <w:r w:rsidR="00E6031E" w:rsidRPr="008E75FC">
        <w:rPr>
          <w:rFonts w:asciiTheme="minorHAnsi" w:hAnsiTheme="minorHAnsi" w:cstheme="minorHAnsi"/>
          <w:iCs/>
          <w:sz w:val="22"/>
          <w:szCs w:val="22"/>
          <w:lang w:val="en-CA"/>
        </w:rPr>
        <w:t>, th</w:t>
      </w:r>
      <w:r w:rsidR="00383A13" w:rsidRPr="008E75FC">
        <w:rPr>
          <w:rFonts w:asciiTheme="minorHAnsi" w:hAnsiTheme="minorHAnsi" w:cstheme="minorHAnsi"/>
          <w:iCs/>
          <w:sz w:val="22"/>
          <w:szCs w:val="22"/>
          <w:lang w:val="en-CA"/>
        </w:rPr>
        <w:t xml:space="preserve">e </w:t>
      </w:r>
      <w:r w:rsidR="0041510C" w:rsidRPr="008E75FC">
        <w:rPr>
          <w:rFonts w:asciiTheme="minorHAnsi" w:hAnsiTheme="minorHAnsi" w:cstheme="minorHAnsi"/>
          <w:iCs/>
          <w:sz w:val="22"/>
          <w:szCs w:val="22"/>
          <w:lang w:val="en-CA"/>
        </w:rPr>
        <w:t>organization</w:t>
      </w:r>
      <w:r w:rsidR="00E6031E" w:rsidRPr="008E75FC">
        <w:rPr>
          <w:rFonts w:asciiTheme="minorHAnsi" w:hAnsiTheme="minorHAnsi" w:cstheme="minorHAnsi"/>
          <w:iCs/>
          <w:sz w:val="22"/>
          <w:szCs w:val="22"/>
          <w:lang w:val="en-CA"/>
        </w:rPr>
        <w:t xml:space="preserve"> has developed standardized tests</w:t>
      </w:r>
      <w:r w:rsidR="003748EA" w:rsidRPr="008E75FC">
        <w:rPr>
          <w:rFonts w:asciiTheme="minorHAnsi" w:hAnsiTheme="minorHAnsi" w:cstheme="minorHAnsi"/>
          <w:iCs/>
          <w:sz w:val="22"/>
          <w:szCs w:val="22"/>
          <w:lang w:val="en-CA"/>
        </w:rPr>
        <w:t xml:space="preserve"> that</w:t>
      </w:r>
      <w:r w:rsidR="00DB0D0C" w:rsidRPr="008E75FC">
        <w:rPr>
          <w:rFonts w:asciiTheme="minorHAnsi" w:hAnsiTheme="minorHAnsi" w:cstheme="minorHAnsi"/>
          <w:iCs/>
          <w:sz w:val="22"/>
          <w:szCs w:val="22"/>
          <w:lang w:val="en-CA"/>
        </w:rPr>
        <w:t xml:space="preserve"> are being</w:t>
      </w:r>
      <w:r w:rsidR="00B52B83" w:rsidRPr="008E75FC">
        <w:rPr>
          <w:rFonts w:asciiTheme="minorHAnsi" w:hAnsiTheme="minorHAnsi" w:cstheme="minorHAnsi"/>
          <w:iCs/>
          <w:sz w:val="22"/>
          <w:szCs w:val="22"/>
          <w:lang w:val="en-CA"/>
        </w:rPr>
        <w:t xml:space="preserve"> </w:t>
      </w:r>
      <w:r w:rsidR="00DB0D0C" w:rsidRPr="008E75FC">
        <w:rPr>
          <w:rFonts w:asciiTheme="minorHAnsi" w:hAnsiTheme="minorHAnsi" w:cstheme="minorHAnsi"/>
          <w:iCs/>
          <w:sz w:val="22"/>
          <w:szCs w:val="22"/>
          <w:lang w:val="en-CA"/>
        </w:rPr>
        <w:t xml:space="preserve">administered by </w:t>
      </w:r>
      <w:r w:rsidR="003748EA" w:rsidRPr="008E75FC">
        <w:rPr>
          <w:rFonts w:asciiTheme="minorHAnsi" w:hAnsiTheme="minorHAnsi" w:cstheme="minorHAnsi"/>
          <w:iCs/>
          <w:sz w:val="22"/>
          <w:szCs w:val="22"/>
          <w:lang w:val="en-CA"/>
        </w:rPr>
        <w:t xml:space="preserve">their </w:t>
      </w:r>
      <w:r w:rsidR="00DB0D0C" w:rsidRPr="008E75FC">
        <w:rPr>
          <w:rFonts w:asciiTheme="minorHAnsi" w:hAnsiTheme="minorHAnsi" w:cstheme="minorHAnsi"/>
          <w:iCs/>
          <w:sz w:val="22"/>
          <w:szCs w:val="22"/>
          <w:lang w:val="en-CA"/>
        </w:rPr>
        <w:t>Official Languages Services,</w:t>
      </w:r>
      <w:r w:rsidR="00383A13" w:rsidRPr="008E75FC">
        <w:rPr>
          <w:rFonts w:asciiTheme="minorHAnsi" w:hAnsiTheme="minorHAnsi" w:cstheme="minorHAnsi"/>
          <w:iCs/>
          <w:sz w:val="22"/>
          <w:szCs w:val="22"/>
          <w:lang w:val="en-CA"/>
        </w:rPr>
        <w:t xml:space="preserve"> </w:t>
      </w:r>
      <w:r w:rsidR="00B52B83" w:rsidRPr="008E75FC">
        <w:rPr>
          <w:rFonts w:asciiTheme="minorHAnsi" w:hAnsiTheme="minorHAnsi" w:cstheme="minorHAnsi"/>
          <w:iCs/>
          <w:sz w:val="22"/>
          <w:szCs w:val="22"/>
          <w:lang w:val="en-CA"/>
        </w:rPr>
        <w:t>easing</w:t>
      </w:r>
      <w:r w:rsidRPr="008E75FC">
        <w:rPr>
          <w:rFonts w:asciiTheme="minorHAnsi" w:hAnsiTheme="minorHAnsi" w:cstheme="minorHAnsi"/>
          <w:iCs/>
          <w:sz w:val="22"/>
          <w:szCs w:val="22"/>
          <w:lang w:val="en-CA"/>
        </w:rPr>
        <w:t xml:space="preserve"> data access and </w:t>
      </w:r>
      <w:r w:rsidR="00B52B83" w:rsidRPr="008E75FC">
        <w:rPr>
          <w:rFonts w:asciiTheme="minorHAnsi" w:hAnsiTheme="minorHAnsi" w:cstheme="minorHAnsi"/>
          <w:iCs/>
          <w:sz w:val="22"/>
          <w:szCs w:val="22"/>
          <w:lang w:val="en-CA"/>
        </w:rPr>
        <w:t xml:space="preserve">facilitating </w:t>
      </w:r>
      <w:r w:rsidRPr="008E75FC">
        <w:rPr>
          <w:rFonts w:asciiTheme="minorHAnsi" w:hAnsiTheme="minorHAnsi" w:cstheme="minorHAnsi"/>
          <w:iCs/>
          <w:sz w:val="22"/>
          <w:szCs w:val="22"/>
          <w:lang w:val="en-CA"/>
        </w:rPr>
        <w:t xml:space="preserve">the production of </w:t>
      </w:r>
      <w:r w:rsidR="00E6031E" w:rsidRPr="008E75FC">
        <w:rPr>
          <w:rFonts w:asciiTheme="minorHAnsi" w:hAnsiTheme="minorHAnsi" w:cstheme="minorHAnsi"/>
          <w:iCs/>
          <w:sz w:val="22"/>
          <w:szCs w:val="22"/>
          <w:lang w:val="en-CA"/>
        </w:rPr>
        <w:t xml:space="preserve">the 2020–2021 report. </w:t>
      </w:r>
    </w:p>
    <w:p w14:paraId="2D36D13E" w14:textId="77777777" w:rsidR="00972F32" w:rsidRPr="008E75FC" w:rsidRDefault="00C82E11" w:rsidP="00E517C7">
      <w:pPr>
        <w:pStyle w:val="Heading1"/>
        <w:spacing w:after="120"/>
        <w:rPr>
          <w:lang w:val="en-CA"/>
        </w:rPr>
      </w:pPr>
      <w:r w:rsidRPr="008E75FC">
        <w:rPr>
          <w:lang w:val="en-CA"/>
        </w:rPr>
        <w:t>Population and Staffing Activities</w:t>
      </w:r>
    </w:p>
    <w:p w14:paraId="2B05FC76" w14:textId="77777777" w:rsidR="00972F32" w:rsidRPr="008E75FC" w:rsidRDefault="00C82E11" w:rsidP="008E2A83">
      <w:pPr>
        <w:pStyle w:val="Heading2"/>
        <w:spacing w:after="120"/>
        <w:rPr>
          <w:u w:val="single"/>
          <w:lang w:val="en-CA"/>
        </w:rPr>
      </w:pPr>
      <w:r w:rsidRPr="008E75FC">
        <w:rPr>
          <w:lang w:val="en-CA"/>
        </w:rPr>
        <w:t>Population</w:t>
      </w:r>
    </w:p>
    <w:p w14:paraId="639488C0" w14:textId="618C6774" w:rsidR="006A3286" w:rsidRPr="008E75FC" w:rsidRDefault="006A3286" w:rsidP="008E2A83">
      <w:pPr>
        <w:pStyle w:val="Header"/>
        <w:spacing w:after="120"/>
        <w:rPr>
          <w:rFonts w:asciiTheme="minorHAnsi" w:hAnsiTheme="minorHAnsi" w:cstheme="minorHAnsi"/>
          <w:sz w:val="22"/>
          <w:szCs w:val="22"/>
          <w:lang w:val="en-CA"/>
        </w:rPr>
      </w:pPr>
      <w:r w:rsidRPr="008E75FC">
        <w:rPr>
          <w:rFonts w:asciiTheme="minorHAnsi" w:hAnsiTheme="minorHAnsi" w:cstheme="minorHAnsi"/>
          <w:sz w:val="22"/>
          <w:szCs w:val="22"/>
          <w:lang w:val="en-CA"/>
        </w:rPr>
        <w:t>CIRNAC and ISC were recently established at the end of 2017.</w:t>
      </w:r>
      <w:r w:rsidRPr="008E75FC">
        <w:rPr>
          <w:rFonts w:asciiTheme="minorHAnsi" w:hAnsiTheme="minorHAnsi" w:cstheme="minorHAnsi"/>
          <w:color w:val="202124"/>
          <w:sz w:val="22"/>
          <w:szCs w:val="22"/>
          <w:lang w:val="en-CA"/>
        </w:rPr>
        <w:t xml:space="preserve"> The available organizational data are still grouped together</w:t>
      </w:r>
      <w:r w:rsidR="00E3652C" w:rsidRPr="008E75FC">
        <w:rPr>
          <w:rFonts w:asciiTheme="minorHAnsi" w:hAnsiTheme="minorHAnsi" w:cstheme="minorHAnsi"/>
          <w:color w:val="202124"/>
          <w:sz w:val="22"/>
          <w:szCs w:val="22"/>
          <w:lang w:val="en-CA"/>
        </w:rPr>
        <w:t xml:space="preserve"> and are</w:t>
      </w:r>
      <w:r w:rsidRPr="008E75FC">
        <w:rPr>
          <w:rFonts w:asciiTheme="minorHAnsi" w:hAnsiTheme="minorHAnsi" w:cstheme="minorHAnsi"/>
          <w:color w:val="202124"/>
          <w:sz w:val="22"/>
          <w:szCs w:val="22"/>
          <w:lang w:val="en-CA"/>
        </w:rPr>
        <w:t xml:space="preserve"> even inseparable pending the conclusion of the administrative split of INAC</w:t>
      </w:r>
      <w:r w:rsidR="001C4F65" w:rsidRPr="008E75FC">
        <w:rPr>
          <w:rFonts w:asciiTheme="minorHAnsi" w:hAnsiTheme="minorHAnsi" w:cstheme="minorHAnsi"/>
          <w:color w:val="202124"/>
          <w:sz w:val="22"/>
          <w:szCs w:val="22"/>
          <w:lang w:val="en-CA"/>
        </w:rPr>
        <w:t>.</w:t>
      </w:r>
    </w:p>
    <w:p w14:paraId="7E57D1D7" w14:textId="4AEB435F" w:rsidR="007378D3" w:rsidRPr="008E75FC" w:rsidRDefault="00610FA7" w:rsidP="008E2A83">
      <w:pPr>
        <w:pStyle w:val="NoSpacing"/>
        <w:spacing w:after="120"/>
        <w:rPr>
          <w:rFonts w:asciiTheme="minorHAnsi" w:hAnsiTheme="minorHAnsi" w:cstheme="minorHAnsi"/>
          <w:color w:val="202124"/>
          <w:lang w:val="en-CA"/>
        </w:rPr>
      </w:pPr>
      <w:r w:rsidRPr="008E75FC">
        <w:rPr>
          <w:rFonts w:asciiTheme="minorHAnsi" w:hAnsiTheme="minorHAnsi" w:cstheme="minorHAnsi"/>
          <w:sz w:val="22"/>
          <w:szCs w:val="22"/>
          <w:lang w:val="en-CA"/>
        </w:rPr>
        <w:t>ISC</w:t>
      </w:r>
      <w:r w:rsidR="007378D3" w:rsidRPr="008E75FC">
        <w:rPr>
          <w:rFonts w:asciiTheme="minorHAnsi" w:hAnsiTheme="minorHAnsi" w:cstheme="minorHAnsi"/>
          <w:sz w:val="22"/>
          <w:szCs w:val="22"/>
          <w:lang w:val="en-CA"/>
        </w:rPr>
        <w:t xml:space="preserve"> is a large organization </w:t>
      </w:r>
      <w:r w:rsidR="00E3652C" w:rsidRPr="008E75FC">
        <w:rPr>
          <w:rFonts w:asciiTheme="minorHAnsi" w:hAnsiTheme="minorHAnsi" w:cstheme="minorHAnsi"/>
          <w:sz w:val="22"/>
          <w:szCs w:val="22"/>
          <w:lang w:val="en-CA"/>
        </w:rPr>
        <w:t>with</w:t>
      </w:r>
      <w:r w:rsidR="007378D3" w:rsidRPr="008E75FC">
        <w:rPr>
          <w:rFonts w:asciiTheme="minorHAnsi" w:hAnsiTheme="minorHAnsi" w:cstheme="minorHAnsi"/>
          <w:sz w:val="22"/>
          <w:szCs w:val="22"/>
          <w:lang w:val="en-CA"/>
        </w:rPr>
        <w:t xml:space="preserve"> </w:t>
      </w:r>
      <w:r w:rsidRPr="008E75FC">
        <w:rPr>
          <w:rFonts w:asciiTheme="minorHAnsi" w:hAnsiTheme="minorHAnsi" w:cstheme="minorHAnsi"/>
          <w:sz w:val="22"/>
          <w:szCs w:val="22"/>
          <w:lang w:val="en-CA"/>
        </w:rPr>
        <w:t>5</w:t>
      </w:r>
      <w:r w:rsidR="00E3652C" w:rsidRPr="008E75FC">
        <w:rPr>
          <w:rFonts w:asciiTheme="minorHAnsi" w:hAnsiTheme="minorHAnsi" w:cstheme="minorHAnsi"/>
          <w:sz w:val="22"/>
          <w:szCs w:val="22"/>
          <w:lang w:val="en-CA"/>
        </w:rPr>
        <w:t>,</w:t>
      </w:r>
      <w:r w:rsidRPr="008E75FC">
        <w:rPr>
          <w:rFonts w:asciiTheme="minorHAnsi" w:hAnsiTheme="minorHAnsi" w:cstheme="minorHAnsi"/>
          <w:sz w:val="22"/>
          <w:szCs w:val="22"/>
          <w:lang w:val="en-CA"/>
        </w:rPr>
        <w:t>470</w:t>
      </w:r>
      <w:r w:rsidR="007378D3" w:rsidRPr="008E75FC">
        <w:rPr>
          <w:rFonts w:asciiTheme="minorHAnsi" w:hAnsiTheme="minorHAnsi" w:cstheme="minorHAnsi"/>
          <w:sz w:val="22"/>
          <w:szCs w:val="22"/>
          <w:lang w:val="en-CA"/>
        </w:rPr>
        <w:t xml:space="preserve"> employees as of March 31, </w:t>
      </w:r>
      <w:r w:rsidRPr="008E75FC">
        <w:rPr>
          <w:rFonts w:asciiTheme="minorHAnsi" w:hAnsiTheme="minorHAnsi" w:cstheme="minorHAnsi"/>
          <w:sz w:val="22"/>
          <w:szCs w:val="22"/>
          <w:lang w:val="en-CA"/>
        </w:rPr>
        <w:t>2020</w:t>
      </w:r>
      <w:r w:rsidR="007378D3" w:rsidRPr="008E75FC">
        <w:rPr>
          <w:rFonts w:asciiTheme="minorHAnsi" w:hAnsiTheme="minorHAnsi" w:cstheme="minorHAnsi"/>
          <w:sz w:val="22"/>
          <w:szCs w:val="22"/>
          <w:lang w:val="en-CA"/>
        </w:rPr>
        <w:t xml:space="preserve">. </w:t>
      </w:r>
      <w:r w:rsidRPr="008E75FC">
        <w:rPr>
          <w:rFonts w:asciiTheme="minorHAnsi" w:hAnsiTheme="minorHAnsi" w:cstheme="minorHAnsi"/>
          <w:sz w:val="22"/>
          <w:szCs w:val="22"/>
          <w:lang w:val="en-CA"/>
        </w:rPr>
        <w:t>Almost half of its employees, 45%, are located outside the National Capital Region.</w:t>
      </w:r>
      <w:r w:rsidRPr="008E75FC">
        <w:rPr>
          <w:rFonts w:asciiTheme="minorHAnsi" w:hAnsiTheme="minorHAnsi" w:cstheme="minorHAnsi"/>
          <w:color w:val="202124"/>
          <w:lang w:val="en-CA"/>
        </w:rPr>
        <w:t xml:space="preserve"> </w:t>
      </w:r>
    </w:p>
    <w:p w14:paraId="0635D77E" w14:textId="77777777" w:rsidR="00972F32" w:rsidRPr="008E75FC" w:rsidRDefault="00C82E11" w:rsidP="00E517C7">
      <w:pPr>
        <w:pStyle w:val="Heading2"/>
        <w:spacing w:after="120"/>
        <w:rPr>
          <w:u w:val="single"/>
          <w:lang w:val="en-CA"/>
        </w:rPr>
      </w:pPr>
      <w:r w:rsidRPr="008E75FC">
        <w:rPr>
          <w:lang w:val="en-CA"/>
        </w:rPr>
        <w:t>Staffing Activities</w:t>
      </w:r>
    </w:p>
    <w:p w14:paraId="55DDB044" w14:textId="6CBBFD75" w:rsidR="007378D3" w:rsidRPr="008E75FC" w:rsidRDefault="007378D3" w:rsidP="00972F32">
      <w:pPr>
        <w:pStyle w:val="NoSpacing"/>
        <w:rPr>
          <w:rFonts w:asciiTheme="minorHAnsi" w:hAnsiTheme="minorHAnsi" w:cstheme="minorHAnsi"/>
          <w:sz w:val="22"/>
          <w:szCs w:val="22"/>
          <w:lang w:val="en-CA"/>
        </w:rPr>
      </w:pPr>
      <w:r w:rsidRPr="008E75FC">
        <w:rPr>
          <w:rFonts w:asciiTheme="minorHAnsi" w:hAnsiTheme="minorHAnsi" w:cstheme="minorHAnsi"/>
          <w:sz w:val="22"/>
          <w:szCs w:val="22"/>
          <w:lang w:val="en-CA"/>
        </w:rPr>
        <w:t xml:space="preserve">In </w:t>
      </w:r>
      <w:r w:rsidR="00610FA7" w:rsidRPr="008E75FC">
        <w:rPr>
          <w:rFonts w:asciiTheme="minorHAnsi" w:hAnsiTheme="minorHAnsi" w:cstheme="minorHAnsi"/>
          <w:sz w:val="22"/>
          <w:szCs w:val="22"/>
          <w:lang w:val="en-CA"/>
        </w:rPr>
        <w:t>2019</w:t>
      </w:r>
      <w:r w:rsidR="00E23B0D" w:rsidRPr="008E75FC">
        <w:rPr>
          <w:rFonts w:asciiTheme="minorHAnsi" w:hAnsiTheme="minorHAnsi" w:cstheme="minorHAnsi"/>
          <w:sz w:val="22"/>
          <w:szCs w:val="22"/>
          <w:lang w:val="en-CA"/>
        </w:rPr>
        <w:t>-</w:t>
      </w:r>
      <w:r w:rsidRPr="008E75FC">
        <w:rPr>
          <w:rFonts w:asciiTheme="minorHAnsi" w:hAnsiTheme="minorHAnsi" w:cstheme="minorHAnsi"/>
          <w:sz w:val="22"/>
          <w:szCs w:val="22"/>
          <w:lang w:val="en-CA"/>
        </w:rPr>
        <w:t>20</w:t>
      </w:r>
      <w:r w:rsidR="00610FA7" w:rsidRPr="008E75FC">
        <w:rPr>
          <w:rFonts w:asciiTheme="minorHAnsi" w:hAnsiTheme="minorHAnsi" w:cstheme="minorHAnsi"/>
          <w:sz w:val="22"/>
          <w:szCs w:val="22"/>
          <w:lang w:val="en-CA"/>
        </w:rPr>
        <w:t>20</w:t>
      </w:r>
      <w:r w:rsidRPr="008E75FC">
        <w:rPr>
          <w:rFonts w:asciiTheme="minorHAnsi" w:hAnsiTheme="minorHAnsi" w:cstheme="minorHAnsi"/>
          <w:sz w:val="22"/>
          <w:szCs w:val="22"/>
          <w:lang w:val="en-CA"/>
        </w:rPr>
        <w:t xml:space="preserve">, </w:t>
      </w:r>
      <w:r w:rsidR="00610FA7" w:rsidRPr="008E75FC">
        <w:rPr>
          <w:rFonts w:asciiTheme="minorHAnsi" w:hAnsiTheme="minorHAnsi" w:cstheme="minorHAnsi"/>
          <w:sz w:val="22"/>
          <w:szCs w:val="22"/>
          <w:lang w:val="en-CA"/>
        </w:rPr>
        <w:t>ISC</w:t>
      </w:r>
      <w:r w:rsidRPr="008E75FC">
        <w:rPr>
          <w:rFonts w:asciiTheme="minorHAnsi" w:hAnsiTheme="minorHAnsi" w:cstheme="minorHAnsi"/>
          <w:sz w:val="22"/>
          <w:szCs w:val="22"/>
          <w:lang w:val="en-CA"/>
        </w:rPr>
        <w:t xml:space="preserve"> proceeded with a total of </w:t>
      </w:r>
      <w:r w:rsidR="00610FA7" w:rsidRPr="008E75FC">
        <w:rPr>
          <w:rFonts w:asciiTheme="minorHAnsi" w:hAnsiTheme="minorHAnsi" w:cstheme="minorHAnsi"/>
          <w:sz w:val="22"/>
          <w:szCs w:val="22"/>
          <w:lang w:val="en-CA"/>
        </w:rPr>
        <w:t>3</w:t>
      </w:r>
      <w:r w:rsidR="001B7B66" w:rsidRPr="008E75FC">
        <w:rPr>
          <w:rFonts w:asciiTheme="minorHAnsi" w:hAnsiTheme="minorHAnsi" w:cstheme="minorHAnsi"/>
          <w:sz w:val="22"/>
          <w:szCs w:val="22"/>
          <w:lang w:val="en-CA"/>
        </w:rPr>
        <w:t>,</w:t>
      </w:r>
      <w:r w:rsidR="00610FA7" w:rsidRPr="008E75FC">
        <w:rPr>
          <w:rFonts w:asciiTheme="minorHAnsi" w:hAnsiTheme="minorHAnsi" w:cstheme="minorHAnsi"/>
          <w:sz w:val="22"/>
          <w:szCs w:val="22"/>
          <w:lang w:val="en-CA"/>
        </w:rPr>
        <w:t>968</w:t>
      </w:r>
      <w:r w:rsidR="00B11FA2" w:rsidRPr="008E75FC">
        <w:rPr>
          <w:rFonts w:asciiTheme="minorHAnsi" w:hAnsiTheme="minorHAnsi" w:cstheme="minorHAnsi"/>
          <w:sz w:val="22"/>
          <w:szCs w:val="22"/>
          <w:lang w:val="en-CA"/>
        </w:rPr>
        <w:t xml:space="preserve"> staffing activities:</w:t>
      </w:r>
    </w:p>
    <w:p w14:paraId="34C00D46" w14:textId="078F416C" w:rsidR="007378D3" w:rsidRPr="008E75FC" w:rsidRDefault="00610FA7" w:rsidP="00F06554">
      <w:pPr>
        <w:pStyle w:val="NoSpacing"/>
        <w:numPr>
          <w:ilvl w:val="0"/>
          <w:numId w:val="17"/>
        </w:numPr>
        <w:rPr>
          <w:rFonts w:asciiTheme="minorHAnsi" w:hAnsiTheme="minorHAnsi" w:cstheme="minorHAnsi"/>
          <w:sz w:val="22"/>
          <w:szCs w:val="22"/>
          <w:lang w:val="en-CA"/>
        </w:rPr>
      </w:pPr>
      <w:r w:rsidRPr="008E75FC">
        <w:rPr>
          <w:rFonts w:asciiTheme="minorHAnsi" w:hAnsiTheme="minorHAnsi" w:cstheme="minorHAnsi"/>
          <w:sz w:val="22"/>
          <w:szCs w:val="22"/>
          <w:lang w:val="en-CA"/>
        </w:rPr>
        <w:t>596</w:t>
      </w:r>
      <w:r w:rsidR="007378D3" w:rsidRPr="008E75FC">
        <w:rPr>
          <w:rFonts w:asciiTheme="minorHAnsi" w:hAnsiTheme="minorHAnsi" w:cstheme="minorHAnsi"/>
          <w:sz w:val="22"/>
          <w:szCs w:val="22"/>
          <w:lang w:val="en-CA"/>
        </w:rPr>
        <w:t xml:space="preserve"> appo</w:t>
      </w:r>
      <w:r w:rsidR="00B11FA2" w:rsidRPr="008E75FC">
        <w:rPr>
          <w:rFonts w:asciiTheme="minorHAnsi" w:hAnsiTheme="minorHAnsi" w:cstheme="minorHAnsi"/>
          <w:sz w:val="22"/>
          <w:szCs w:val="22"/>
          <w:lang w:val="en-CA"/>
        </w:rPr>
        <w:t>intments to the public service;</w:t>
      </w:r>
    </w:p>
    <w:p w14:paraId="46CA17D6" w14:textId="28D405BA" w:rsidR="007378D3" w:rsidRPr="008E75FC" w:rsidRDefault="00610FA7" w:rsidP="00F06554">
      <w:pPr>
        <w:pStyle w:val="NoSpacing"/>
        <w:numPr>
          <w:ilvl w:val="0"/>
          <w:numId w:val="17"/>
        </w:numPr>
        <w:rPr>
          <w:rFonts w:asciiTheme="minorHAnsi" w:hAnsiTheme="minorHAnsi" w:cstheme="minorHAnsi"/>
          <w:sz w:val="22"/>
          <w:szCs w:val="22"/>
          <w:lang w:val="en-CA"/>
        </w:rPr>
      </w:pPr>
      <w:r w:rsidRPr="008E75FC">
        <w:rPr>
          <w:rFonts w:asciiTheme="minorHAnsi" w:hAnsiTheme="minorHAnsi" w:cstheme="minorHAnsi"/>
          <w:sz w:val="22"/>
          <w:szCs w:val="22"/>
          <w:lang w:val="en-CA"/>
        </w:rPr>
        <w:t>858</w:t>
      </w:r>
      <w:r w:rsidR="007378D3" w:rsidRPr="008E75FC">
        <w:rPr>
          <w:rFonts w:asciiTheme="minorHAnsi" w:hAnsiTheme="minorHAnsi" w:cstheme="minorHAnsi"/>
          <w:sz w:val="22"/>
          <w:szCs w:val="22"/>
          <w:lang w:val="en-CA"/>
        </w:rPr>
        <w:t xml:space="preserve"> promotions;</w:t>
      </w:r>
    </w:p>
    <w:p w14:paraId="52014BAD" w14:textId="1BDC9DCF" w:rsidR="007378D3" w:rsidRPr="008E75FC" w:rsidRDefault="00610FA7" w:rsidP="00F06554">
      <w:pPr>
        <w:pStyle w:val="NoSpacing"/>
        <w:numPr>
          <w:ilvl w:val="0"/>
          <w:numId w:val="17"/>
        </w:numPr>
        <w:rPr>
          <w:rFonts w:asciiTheme="minorHAnsi" w:hAnsiTheme="minorHAnsi" w:cstheme="minorHAnsi"/>
          <w:sz w:val="22"/>
          <w:szCs w:val="22"/>
          <w:lang w:val="en-CA"/>
        </w:rPr>
      </w:pPr>
      <w:r w:rsidRPr="008E75FC">
        <w:rPr>
          <w:rFonts w:asciiTheme="minorHAnsi" w:hAnsiTheme="minorHAnsi" w:cstheme="minorHAnsi"/>
          <w:sz w:val="22"/>
          <w:szCs w:val="22"/>
          <w:lang w:val="en-CA"/>
        </w:rPr>
        <w:t>568</w:t>
      </w:r>
      <w:r w:rsidR="00B11FA2" w:rsidRPr="008E75FC">
        <w:rPr>
          <w:rFonts w:asciiTheme="minorHAnsi" w:hAnsiTheme="minorHAnsi" w:cstheme="minorHAnsi"/>
          <w:sz w:val="22"/>
          <w:szCs w:val="22"/>
          <w:lang w:val="en-CA"/>
        </w:rPr>
        <w:t xml:space="preserve"> acting appointments;</w:t>
      </w:r>
    </w:p>
    <w:p w14:paraId="16C10B02" w14:textId="524A6CF8" w:rsidR="007378D3" w:rsidRPr="008E75FC" w:rsidRDefault="00274D3D" w:rsidP="00F06554">
      <w:pPr>
        <w:pStyle w:val="NoSpacing"/>
        <w:numPr>
          <w:ilvl w:val="0"/>
          <w:numId w:val="17"/>
        </w:numPr>
        <w:rPr>
          <w:rFonts w:asciiTheme="minorHAnsi" w:hAnsiTheme="minorHAnsi" w:cstheme="minorHAnsi"/>
          <w:sz w:val="22"/>
          <w:szCs w:val="22"/>
          <w:lang w:val="en-CA"/>
        </w:rPr>
      </w:pPr>
      <w:r w:rsidRPr="008E75FC">
        <w:rPr>
          <w:rFonts w:asciiTheme="minorHAnsi" w:hAnsiTheme="minorHAnsi" w:cstheme="minorHAnsi"/>
          <w:sz w:val="22"/>
          <w:szCs w:val="22"/>
          <w:lang w:val="en-CA"/>
        </w:rPr>
        <w:t>609</w:t>
      </w:r>
      <w:r w:rsidR="007378D3" w:rsidRPr="008E75FC">
        <w:rPr>
          <w:rFonts w:asciiTheme="minorHAnsi" w:hAnsiTheme="minorHAnsi" w:cstheme="minorHAnsi"/>
          <w:sz w:val="22"/>
          <w:szCs w:val="22"/>
          <w:lang w:val="en-CA"/>
        </w:rPr>
        <w:t xml:space="preserve"> </w:t>
      </w:r>
      <w:r w:rsidR="00B11FA2" w:rsidRPr="008E75FC">
        <w:rPr>
          <w:rFonts w:asciiTheme="minorHAnsi" w:hAnsiTheme="minorHAnsi" w:cstheme="minorHAnsi"/>
          <w:sz w:val="22"/>
          <w:szCs w:val="22"/>
          <w:lang w:val="en-CA"/>
        </w:rPr>
        <w:t>casuals</w:t>
      </w:r>
      <w:r w:rsidR="00F4447B" w:rsidRPr="008E75FC">
        <w:rPr>
          <w:rFonts w:asciiTheme="minorHAnsi" w:hAnsiTheme="minorHAnsi" w:cstheme="minorHAnsi"/>
          <w:sz w:val="22"/>
          <w:szCs w:val="22"/>
          <w:lang w:val="en-CA"/>
        </w:rPr>
        <w:t>;</w:t>
      </w:r>
    </w:p>
    <w:p w14:paraId="06D0196E" w14:textId="0C43458E" w:rsidR="007378D3" w:rsidRPr="008E75FC" w:rsidRDefault="00274D3D" w:rsidP="00F06554">
      <w:pPr>
        <w:pStyle w:val="NoSpacing"/>
        <w:numPr>
          <w:ilvl w:val="0"/>
          <w:numId w:val="17"/>
        </w:numPr>
        <w:rPr>
          <w:rFonts w:asciiTheme="minorHAnsi" w:hAnsiTheme="minorHAnsi" w:cstheme="minorHAnsi"/>
          <w:sz w:val="22"/>
          <w:szCs w:val="22"/>
          <w:lang w:val="en-CA"/>
        </w:rPr>
      </w:pPr>
      <w:r w:rsidRPr="008E75FC">
        <w:rPr>
          <w:rFonts w:asciiTheme="minorHAnsi" w:hAnsiTheme="minorHAnsi" w:cstheme="minorHAnsi"/>
          <w:sz w:val="22"/>
          <w:szCs w:val="22"/>
          <w:lang w:val="en-CA"/>
        </w:rPr>
        <w:t>517</w:t>
      </w:r>
      <w:r w:rsidR="00B11FA2" w:rsidRPr="008E75FC">
        <w:rPr>
          <w:rFonts w:asciiTheme="minorHAnsi" w:hAnsiTheme="minorHAnsi" w:cstheme="minorHAnsi"/>
          <w:sz w:val="22"/>
          <w:szCs w:val="22"/>
          <w:lang w:val="en-CA"/>
        </w:rPr>
        <w:t xml:space="preserve"> students</w:t>
      </w:r>
      <w:r w:rsidRPr="008E75FC">
        <w:rPr>
          <w:rFonts w:asciiTheme="minorHAnsi" w:hAnsiTheme="minorHAnsi" w:cstheme="minorHAnsi"/>
          <w:sz w:val="22"/>
          <w:szCs w:val="22"/>
          <w:lang w:val="en-CA"/>
        </w:rPr>
        <w:t xml:space="preserve"> (324 FSWEP and 193 COOP)</w:t>
      </w:r>
      <w:r w:rsidR="00F4447B" w:rsidRPr="008E75FC">
        <w:rPr>
          <w:rFonts w:asciiTheme="minorHAnsi" w:hAnsiTheme="minorHAnsi" w:cstheme="minorHAnsi"/>
          <w:sz w:val="22"/>
          <w:szCs w:val="22"/>
          <w:lang w:val="en-CA"/>
        </w:rPr>
        <w:t>;</w:t>
      </w:r>
    </w:p>
    <w:p w14:paraId="7A8052B7" w14:textId="77777777" w:rsidR="008E2A83" w:rsidRPr="008E75FC" w:rsidRDefault="00274D3D" w:rsidP="008E2A83">
      <w:pPr>
        <w:pStyle w:val="NoSpacing"/>
        <w:numPr>
          <w:ilvl w:val="0"/>
          <w:numId w:val="17"/>
        </w:numPr>
        <w:spacing w:after="120"/>
        <w:rPr>
          <w:rFonts w:asciiTheme="minorHAnsi" w:hAnsiTheme="minorHAnsi" w:cstheme="minorHAnsi"/>
          <w:sz w:val="22"/>
          <w:szCs w:val="22"/>
          <w:lang w:val="en-CA"/>
        </w:rPr>
      </w:pPr>
      <w:r w:rsidRPr="008E75FC">
        <w:rPr>
          <w:rFonts w:asciiTheme="minorHAnsi" w:hAnsiTheme="minorHAnsi" w:cstheme="minorHAnsi"/>
          <w:sz w:val="22"/>
          <w:szCs w:val="22"/>
          <w:lang w:val="en-CA"/>
        </w:rPr>
        <w:t>820</w:t>
      </w:r>
      <w:r w:rsidR="007378D3" w:rsidRPr="008E75FC">
        <w:rPr>
          <w:rFonts w:asciiTheme="minorHAnsi" w:hAnsiTheme="minorHAnsi" w:cstheme="minorHAnsi"/>
          <w:sz w:val="22"/>
          <w:szCs w:val="22"/>
          <w:lang w:val="en-CA"/>
        </w:rPr>
        <w:t xml:space="preserve"> </w:t>
      </w:r>
      <w:r w:rsidR="00B11FA2" w:rsidRPr="008E75FC">
        <w:rPr>
          <w:rFonts w:asciiTheme="minorHAnsi" w:hAnsiTheme="minorHAnsi" w:cstheme="minorHAnsi"/>
          <w:sz w:val="22"/>
          <w:szCs w:val="22"/>
          <w:lang w:val="en-CA"/>
        </w:rPr>
        <w:t>lateral and downward movements</w:t>
      </w:r>
      <w:r w:rsidR="00F4447B" w:rsidRPr="008E75FC">
        <w:rPr>
          <w:rFonts w:asciiTheme="minorHAnsi" w:hAnsiTheme="minorHAnsi" w:cstheme="minorHAnsi"/>
          <w:sz w:val="22"/>
          <w:szCs w:val="22"/>
          <w:lang w:val="en-CA"/>
        </w:rPr>
        <w:t>.</w:t>
      </w:r>
    </w:p>
    <w:p w14:paraId="6C1453C2" w14:textId="3492DA39" w:rsidR="008E2A83" w:rsidRPr="008E75FC" w:rsidRDefault="008E2A83" w:rsidP="008E2A83">
      <w:pPr>
        <w:pStyle w:val="NoSpacing"/>
        <w:spacing w:after="120"/>
        <w:rPr>
          <w:rFonts w:asciiTheme="minorHAnsi" w:hAnsiTheme="minorHAnsi" w:cstheme="minorHAnsi"/>
          <w:sz w:val="22"/>
          <w:szCs w:val="22"/>
          <w:lang w:val="en-CA"/>
        </w:rPr>
      </w:pPr>
      <w:r w:rsidRPr="008E75FC">
        <w:rPr>
          <w:rFonts w:asciiTheme="minorHAnsi" w:hAnsiTheme="minorHAnsi" w:cstheme="minorHAnsi"/>
          <w:sz w:val="22"/>
          <w:szCs w:val="22"/>
          <w:lang w:val="en-CA" w:eastAsia="en-CA"/>
        </w:rPr>
        <w:t xml:space="preserve">Please refer to </w:t>
      </w:r>
      <w:hyperlink w:anchor="Annexe_B" w:history="1">
        <w:r w:rsidRPr="008E75FC">
          <w:rPr>
            <w:rStyle w:val="Hyperlink"/>
            <w:rFonts w:asciiTheme="minorHAnsi" w:hAnsiTheme="minorHAnsi" w:cstheme="minorHAnsi"/>
            <w:sz w:val="22"/>
            <w:szCs w:val="22"/>
            <w:lang w:val="en-CA" w:eastAsia="en-CA"/>
          </w:rPr>
          <w:t>Annex B</w:t>
        </w:r>
      </w:hyperlink>
      <w:r w:rsidRPr="008E75FC">
        <w:rPr>
          <w:rFonts w:asciiTheme="minorHAnsi" w:hAnsiTheme="minorHAnsi" w:cstheme="minorHAnsi"/>
          <w:sz w:val="22"/>
          <w:szCs w:val="22"/>
          <w:lang w:val="en-CA" w:eastAsia="en-CA"/>
        </w:rPr>
        <w:t xml:space="preserve"> for additional details on staffing activities.</w:t>
      </w:r>
    </w:p>
    <w:p w14:paraId="7EC62B28" w14:textId="77777777" w:rsidR="00972F32" w:rsidRPr="008E75FC" w:rsidRDefault="00FD71E0" w:rsidP="008E2A83">
      <w:pPr>
        <w:pStyle w:val="Heading1"/>
        <w:spacing w:after="120"/>
        <w:rPr>
          <w:lang w:val="en-CA"/>
        </w:rPr>
      </w:pPr>
      <w:r w:rsidRPr="008E75FC">
        <w:rPr>
          <w:lang w:val="en-CA"/>
        </w:rPr>
        <w:lastRenderedPageBreak/>
        <w:t>T</w:t>
      </w:r>
      <w:r w:rsidR="00C82E11" w:rsidRPr="008E75FC">
        <w:rPr>
          <w:lang w:val="en-CA"/>
        </w:rPr>
        <w:t>ime to Staff</w:t>
      </w:r>
    </w:p>
    <w:p w14:paraId="2BB3CC6A" w14:textId="72748275" w:rsidR="00C82E11" w:rsidRPr="008E75FC" w:rsidRDefault="007C619C" w:rsidP="008E2A83">
      <w:pPr>
        <w:pStyle w:val="NoSpacing"/>
        <w:spacing w:after="120"/>
        <w:rPr>
          <w:rFonts w:asciiTheme="minorHAnsi" w:hAnsiTheme="minorHAnsi" w:cstheme="minorHAnsi"/>
          <w:color w:val="222222"/>
          <w:sz w:val="22"/>
          <w:szCs w:val="22"/>
          <w:lang w:val="en-CA"/>
        </w:rPr>
      </w:pPr>
      <w:r w:rsidRPr="008E75FC">
        <w:rPr>
          <w:rFonts w:asciiTheme="minorHAnsi" w:hAnsiTheme="minorHAnsi" w:cstheme="minorHAnsi"/>
          <w:sz w:val="22"/>
          <w:szCs w:val="22"/>
          <w:lang w:val="en-CA"/>
        </w:rPr>
        <w:t>For 2019-2020, ISC</w:t>
      </w:r>
      <w:r w:rsidR="00C82E11" w:rsidRPr="008E75FC">
        <w:rPr>
          <w:rFonts w:asciiTheme="minorHAnsi" w:hAnsiTheme="minorHAnsi" w:cstheme="minorHAnsi"/>
          <w:sz w:val="22"/>
          <w:szCs w:val="22"/>
          <w:lang w:val="en-CA"/>
        </w:rPr>
        <w:t xml:space="preserve"> has a median time of </w:t>
      </w:r>
      <w:r w:rsidRPr="008E75FC">
        <w:rPr>
          <w:rFonts w:asciiTheme="minorHAnsi" w:hAnsiTheme="minorHAnsi" w:cstheme="minorHAnsi"/>
          <w:sz w:val="22"/>
          <w:szCs w:val="22"/>
          <w:lang w:val="en-CA"/>
        </w:rPr>
        <w:t>195</w:t>
      </w:r>
      <w:r w:rsidR="00C82E11" w:rsidRPr="008E75FC">
        <w:rPr>
          <w:rFonts w:asciiTheme="minorHAnsi" w:hAnsiTheme="minorHAnsi" w:cstheme="minorHAnsi"/>
          <w:sz w:val="22"/>
          <w:szCs w:val="22"/>
          <w:lang w:val="en-CA"/>
        </w:rPr>
        <w:t xml:space="preserve"> days for internal appointments, which is higher than the median of the public service, which is 17</w:t>
      </w:r>
      <w:r w:rsidRPr="008E75FC">
        <w:rPr>
          <w:rFonts w:asciiTheme="minorHAnsi" w:hAnsiTheme="minorHAnsi" w:cstheme="minorHAnsi"/>
          <w:sz w:val="22"/>
          <w:szCs w:val="22"/>
          <w:lang w:val="en-CA"/>
        </w:rPr>
        <w:t>5</w:t>
      </w:r>
      <w:r w:rsidR="00C82E11" w:rsidRPr="008E75FC">
        <w:rPr>
          <w:rFonts w:asciiTheme="minorHAnsi" w:hAnsiTheme="minorHAnsi" w:cstheme="minorHAnsi"/>
          <w:sz w:val="22"/>
          <w:szCs w:val="22"/>
          <w:lang w:val="en-CA"/>
        </w:rPr>
        <w:t xml:space="preserve"> days. </w:t>
      </w:r>
      <w:r w:rsidRPr="008E75FC">
        <w:rPr>
          <w:rFonts w:asciiTheme="minorHAnsi" w:hAnsiTheme="minorHAnsi" w:cstheme="minorHAnsi"/>
          <w:sz w:val="22"/>
          <w:szCs w:val="22"/>
          <w:lang w:val="en-CA"/>
        </w:rPr>
        <w:t>ISC</w:t>
      </w:r>
      <w:r w:rsidR="00C82E11" w:rsidRPr="008E75FC">
        <w:rPr>
          <w:rFonts w:asciiTheme="minorHAnsi" w:hAnsiTheme="minorHAnsi" w:cstheme="minorHAnsi"/>
          <w:sz w:val="22"/>
          <w:szCs w:val="22"/>
          <w:lang w:val="en-CA"/>
        </w:rPr>
        <w:t xml:space="preserve"> has a median time of </w:t>
      </w:r>
      <w:r w:rsidRPr="008E75FC">
        <w:rPr>
          <w:rFonts w:asciiTheme="minorHAnsi" w:hAnsiTheme="minorHAnsi" w:cstheme="minorHAnsi"/>
          <w:sz w:val="22"/>
          <w:szCs w:val="22"/>
          <w:lang w:val="en-CA"/>
        </w:rPr>
        <w:t>248</w:t>
      </w:r>
      <w:r w:rsidR="00C82E11" w:rsidRPr="008E75FC">
        <w:rPr>
          <w:rFonts w:asciiTheme="minorHAnsi" w:hAnsiTheme="minorHAnsi" w:cstheme="minorHAnsi"/>
          <w:b/>
          <w:sz w:val="22"/>
          <w:szCs w:val="22"/>
          <w:lang w:val="en-CA"/>
        </w:rPr>
        <w:t xml:space="preserve"> </w:t>
      </w:r>
      <w:r w:rsidR="00C82E11" w:rsidRPr="008E75FC">
        <w:rPr>
          <w:rFonts w:asciiTheme="minorHAnsi" w:hAnsiTheme="minorHAnsi" w:cstheme="minorHAnsi"/>
          <w:sz w:val="22"/>
          <w:szCs w:val="22"/>
          <w:lang w:val="en-CA"/>
        </w:rPr>
        <w:t xml:space="preserve">days </w:t>
      </w:r>
      <w:r w:rsidR="00C82E11" w:rsidRPr="008E75FC">
        <w:rPr>
          <w:rFonts w:asciiTheme="minorHAnsi" w:hAnsiTheme="minorHAnsi" w:cstheme="minorHAnsi"/>
          <w:color w:val="222222"/>
          <w:sz w:val="22"/>
          <w:szCs w:val="22"/>
          <w:lang w:val="en-CA"/>
        </w:rPr>
        <w:t xml:space="preserve">for external appointments, which is </w:t>
      </w:r>
      <w:r w:rsidR="00C82E11" w:rsidRPr="008E75FC">
        <w:rPr>
          <w:rFonts w:asciiTheme="minorHAnsi" w:hAnsiTheme="minorHAnsi" w:cstheme="minorHAnsi"/>
          <w:sz w:val="22"/>
          <w:szCs w:val="22"/>
          <w:lang w:val="en-CA"/>
        </w:rPr>
        <w:t xml:space="preserve">higher </w:t>
      </w:r>
      <w:r w:rsidR="00C82E11" w:rsidRPr="008E75FC">
        <w:rPr>
          <w:rFonts w:asciiTheme="minorHAnsi" w:hAnsiTheme="minorHAnsi" w:cstheme="minorHAnsi"/>
          <w:color w:val="222222"/>
          <w:sz w:val="22"/>
          <w:szCs w:val="22"/>
          <w:lang w:val="en-CA"/>
        </w:rPr>
        <w:t xml:space="preserve">than the median of the public service, which is </w:t>
      </w:r>
      <w:r w:rsidRPr="008E75FC">
        <w:rPr>
          <w:rFonts w:asciiTheme="minorHAnsi" w:hAnsiTheme="minorHAnsi" w:cstheme="minorHAnsi"/>
          <w:color w:val="222222"/>
          <w:sz w:val="22"/>
          <w:szCs w:val="22"/>
          <w:lang w:val="en-CA"/>
        </w:rPr>
        <w:t>203</w:t>
      </w:r>
      <w:r w:rsidR="00C82E11" w:rsidRPr="008E75FC">
        <w:rPr>
          <w:rFonts w:asciiTheme="minorHAnsi" w:hAnsiTheme="minorHAnsi" w:cstheme="minorHAnsi"/>
          <w:color w:val="222222"/>
          <w:sz w:val="22"/>
          <w:szCs w:val="22"/>
          <w:lang w:val="en-CA"/>
        </w:rPr>
        <w:t xml:space="preserve"> days.</w:t>
      </w:r>
    </w:p>
    <w:p w14:paraId="544B0E63" w14:textId="77777777" w:rsidR="00AA03F8" w:rsidRPr="008E75FC" w:rsidRDefault="00052FE3" w:rsidP="008E2A83">
      <w:pPr>
        <w:pStyle w:val="Heading1"/>
        <w:spacing w:after="120"/>
        <w:rPr>
          <w:lang w:val="en-CA"/>
        </w:rPr>
      </w:pPr>
      <w:r w:rsidRPr="008E75FC">
        <w:rPr>
          <w:lang w:val="en-CA"/>
        </w:rPr>
        <w:t>Staffing Framework</w:t>
      </w:r>
    </w:p>
    <w:p w14:paraId="5E73D90F" w14:textId="77777777" w:rsidR="00AA03F8" w:rsidRPr="008E75FC" w:rsidRDefault="00052FE3" w:rsidP="008E2A83">
      <w:pPr>
        <w:pStyle w:val="Heading2"/>
        <w:spacing w:after="120"/>
        <w:rPr>
          <w:lang w:val="en-CA"/>
        </w:rPr>
      </w:pPr>
      <w:r w:rsidRPr="008E75FC">
        <w:rPr>
          <w:lang w:val="en-CA"/>
        </w:rPr>
        <w:t>New Direction in Staffing Implementation</w:t>
      </w:r>
    </w:p>
    <w:p w14:paraId="38623398" w14:textId="0ECA9CBA" w:rsidR="007A50D1" w:rsidRPr="008E75FC" w:rsidRDefault="00DB0D0C" w:rsidP="00276844">
      <w:pPr>
        <w:pStyle w:val="NormalWeb"/>
        <w:spacing w:before="0" w:beforeAutospacing="0" w:after="120" w:afterAutospacing="0"/>
        <w:rPr>
          <w:rFonts w:asciiTheme="minorHAnsi" w:hAnsiTheme="minorHAnsi" w:cstheme="minorHAnsi"/>
          <w:sz w:val="22"/>
          <w:szCs w:val="22"/>
          <w:lang w:val="en-CA"/>
        </w:rPr>
      </w:pPr>
      <w:r w:rsidRPr="008E75FC">
        <w:rPr>
          <w:rFonts w:asciiTheme="minorHAnsi" w:hAnsiTheme="minorHAnsi" w:cstheme="minorHAnsi"/>
          <w:sz w:val="22"/>
          <w:szCs w:val="22"/>
          <w:lang w:val="en-CA"/>
        </w:rPr>
        <w:t>A</w:t>
      </w:r>
      <w:r w:rsidR="00EF033C" w:rsidRPr="008E75FC">
        <w:rPr>
          <w:rFonts w:asciiTheme="minorHAnsi" w:hAnsiTheme="minorHAnsi" w:cstheme="minorHAnsi"/>
          <w:sz w:val="22"/>
          <w:szCs w:val="22"/>
          <w:lang w:val="en-CA"/>
        </w:rPr>
        <w:t xml:space="preserve"> review of the</w:t>
      </w:r>
      <w:r w:rsidR="004D7FB7" w:rsidRPr="008E75FC">
        <w:rPr>
          <w:rFonts w:asciiTheme="minorHAnsi" w:hAnsiTheme="minorHAnsi" w:cstheme="minorHAnsi"/>
          <w:sz w:val="22"/>
          <w:szCs w:val="22"/>
          <w:lang w:val="en-CA"/>
        </w:rPr>
        <w:t xml:space="preserve"> staffing framework was </w:t>
      </w:r>
      <w:r w:rsidR="00EF033C" w:rsidRPr="008E75FC">
        <w:rPr>
          <w:rFonts w:asciiTheme="minorHAnsi" w:hAnsiTheme="minorHAnsi" w:cstheme="minorHAnsi"/>
          <w:sz w:val="22"/>
          <w:szCs w:val="22"/>
          <w:lang w:val="en-CA"/>
        </w:rPr>
        <w:t xml:space="preserve">conducted </w:t>
      </w:r>
      <w:r w:rsidR="004D7FB7" w:rsidRPr="008E75FC">
        <w:rPr>
          <w:rFonts w:asciiTheme="minorHAnsi" w:hAnsiTheme="minorHAnsi" w:cstheme="minorHAnsi"/>
          <w:sz w:val="22"/>
          <w:szCs w:val="22"/>
          <w:lang w:val="en-CA"/>
        </w:rPr>
        <w:t>in 2017</w:t>
      </w:r>
      <w:r w:rsidRPr="008E75FC">
        <w:rPr>
          <w:rFonts w:asciiTheme="minorHAnsi" w:hAnsiTheme="minorHAnsi" w:cstheme="minorHAnsi"/>
          <w:sz w:val="22"/>
          <w:szCs w:val="22"/>
          <w:lang w:val="en-CA"/>
        </w:rPr>
        <w:t xml:space="preserve"> following the implementation of the N</w:t>
      </w:r>
      <w:r w:rsidR="00084741" w:rsidRPr="008E75FC">
        <w:rPr>
          <w:rFonts w:asciiTheme="minorHAnsi" w:hAnsiTheme="minorHAnsi" w:cstheme="minorHAnsi"/>
          <w:sz w:val="22"/>
          <w:szCs w:val="22"/>
          <w:lang w:val="en-CA"/>
        </w:rPr>
        <w:t xml:space="preserve">ew </w:t>
      </w:r>
      <w:r w:rsidRPr="008E75FC">
        <w:rPr>
          <w:rFonts w:asciiTheme="minorHAnsi" w:hAnsiTheme="minorHAnsi" w:cstheme="minorHAnsi"/>
          <w:sz w:val="22"/>
          <w:szCs w:val="22"/>
          <w:lang w:val="en-CA"/>
        </w:rPr>
        <w:t>D</w:t>
      </w:r>
      <w:r w:rsidR="00084741" w:rsidRPr="008E75FC">
        <w:rPr>
          <w:rFonts w:asciiTheme="minorHAnsi" w:hAnsiTheme="minorHAnsi" w:cstheme="minorHAnsi"/>
          <w:sz w:val="22"/>
          <w:szCs w:val="22"/>
          <w:lang w:val="en-CA"/>
        </w:rPr>
        <w:t xml:space="preserve">irection in </w:t>
      </w:r>
      <w:r w:rsidRPr="008E75FC">
        <w:rPr>
          <w:rFonts w:asciiTheme="minorHAnsi" w:hAnsiTheme="minorHAnsi" w:cstheme="minorHAnsi"/>
          <w:sz w:val="22"/>
          <w:szCs w:val="22"/>
          <w:lang w:val="en-CA"/>
        </w:rPr>
        <w:t>S</w:t>
      </w:r>
      <w:r w:rsidR="00084741" w:rsidRPr="008E75FC">
        <w:rPr>
          <w:rFonts w:asciiTheme="minorHAnsi" w:hAnsiTheme="minorHAnsi" w:cstheme="minorHAnsi"/>
          <w:sz w:val="22"/>
          <w:szCs w:val="22"/>
          <w:lang w:val="en-CA"/>
        </w:rPr>
        <w:t>taffing</w:t>
      </w:r>
      <w:r w:rsidRPr="008E75FC">
        <w:rPr>
          <w:rFonts w:asciiTheme="minorHAnsi" w:hAnsiTheme="minorHAnsi" w:cstheme="minorHAnsi"/>
          <w:sz w:val="22"/>
          <w:szCs w:val="22"/>
          <w:lang w:val="en-CA"/>
        </w:rPr>
        <w:t>.</w:t>
      </w:r>
      <w:r w:rsidR="004D7FB7" w:rsidRPr="008E75FC">
        <w:rPr>
          <w:rFonts w:asciiTheme="minorHAnsi" w:hAnsiTheme="minorHAnsi" w:cstheme="minorHAnsi"/>
          <w:sz w:val="22"/>
          <w:szCs w:val="22"/>
          <w:lang w:val="en-CA"/>
        </w:rPr>
        <w:t xml:space="preserve"> As per the</w:t>
      </w:r>
      <w:r w:rsidR="00FD4BB6" w:rsidRPr="008E75FC">
        <w:rPr>
          <w:rFonts w:asciiTheme="minorHAnsi" w:hAnsiTheme="minorHAnsi" w:cstheme="minorHAnsi"/>
          <w:sz w:val="22"/>
          <w:szCs w:val="22"/>
          <w:lang w:val="en-CA"/>
        </w:rPr>
        <w:t xml:space="preserve"> PSC Appointment Policy, the ISC Appointment Framework </w:t>
      </w:r>
      <w:r w:rsidR="0041510C" w:rsidRPr="008E75FC">
        <w:rPr>
          <w:rFonts w:asciiTheme="minorHAnsi" w:hAnsiTheme="minorHAnsi" w:cstheme="minorHAnsi"/>
          <w:sz w:val="22"/>
          <w:szCs w:val="22"/>
          <w:lang w:val="en-CA"/>
        </w:rPr>
        <w:t xml:space="preserve">contains policies </w:t>
      </w:r>
      <w:r w:rsidR="00FD4BB6" w:rsidRPr="008E75FC">
        <w:rPr>
          <w:rFonts w:asciiTheme="minorHAnsi" w:hAnsiTheme="minorHAnsi" w:cstheme="minorHAnsi"/>
          <w:sz w:val="22"/>
          <w:szCs w:val="22"/>
          <w:lang w:val="en-CA"/>
        </w:rPr>
        <w:t xml:space="preserve">on the </w:t>
      </w:r>
      <w:r w:rsidR="00E5479B" w:rsidRPr="008E75FC">
        <w:rPr>
          <w:rFonts w:asciiTheme="minorHAnsi" w:hAnsiTheme="minorHAnsi" w:cstheme="minorHAnsi"/>
          <w:sz w:val="22"/>
          <w:szCs w:val="22"/>
          <w:lang w:val="en-CA"/>
        </w:rPr>
        <w:t>area of selection</w:t>
      </w:r>
      <w:r w:rsidR="00FD4BB6" w:rsidRPr="008E75FC">
        <w:rPr>
          <w:rFonts w:asciiTheme="minorHAnsi" w:hAnsiTheme="minorHAnsi" w:cstheme="minorHAnsi"/>
          <w:sz w:val="22"/>
          <w:szCs w:val="22"/>
          <w:lang w:val="en-CA"/>
        </w:rPr>
        <w:t xml:space="preserve"> </w:t>
      </w:r>
      <w:r w:rsidR="0041510C" w:rsidRPr="008E75FC">
        <w:rPr>
          <w:rFonts w:asciiTheme="minorHAnsi" w:hAnsiTheme="minorHAnsi" w:cstheme="minorHAnsi"/>
          <w:sz w:val="22"/>
          <w:szCs w:val="22"/>
          <w:lang w:val="en-CA"/>
        </w:rPr>
        <w:t xml:space="preserve">and </w:t>
      </w:r>
      <w:r w:rsidR="00FD4BB6" w:rsidRPr="008E75FC">
        <w:rPr>
          <w:rFonts w:asciiTheme="minorHAnsi" w:hAnsiTheme="minorHAnsi" w:cstheme="minorHAnsi"/>
          <w:sz w:val="22"/>
          <w:szCs w:val="22"/>
          <w:lang w:val="en-CA"/>
        </w:rPr>
        <w:t>use of advertised and non-advertised processes</w:t>
      </w:r>
      <w:r w:rsidR="00E5479B" w:rsidRPr="008E75FC">
        <w:rPr>
          <w:rFonts w:asciiTheme="minorHAnsi" w:hAnsiTheme="minorHAnsi" w:cstheme="minorHAnsi"/>
          <w:sz w:val="22"/>
          <w:szCs w:val="22"/>
          <w:lang w:val="en-CA"/>
        </w:rPr>
        <w:t>,</w:t>
      </w:r>
      <w:r w:rsidR="00FD4BB6" w:rsidRPr="008E75FC">
        <w:rPr>
          <w:rFonts w:asciiTheme="minorHAnsi" w:hAnsiTheme="minorHAnsi" w:cstheme="minorHAnsi"/>
          <w:sz w:val="22"/>
          <w:szCs w:val="22"/>
          <w:lang w:val="en-CA"/>
        </w:rPr>
        <w:t xml:space="preserve"> as well as requi</w:t>
      </w:r>
      <w:r w:rsidR="00E5479B" w:rsidRPr="008E75FC">
        <w:rPr>
          <w:rFonts w:asciiTheme="minorHAnsi" w:hAnsiTheme="minorHAnsi" w:cstheme="minorHAnsi"/>
          <w:sz w:val="22"/>
          <w:szCs w:val="22"/>
          <w:lang w:val="en-CA"/>
        </w:rPr>
        <w:t>rements related to the articulation of selection decisions.</w:t>
      </w:r>
    </w:p>
    <w:p w14:paraId="1246922B" w14:textId="595915BF" w:rsidR="007A50D1" w:rsidRPr="008E75FC" w:rsidRDefault="00E5479B" w:rsidP="00276844">
      <w:pPr>
        <w:pStyle w:val="NoSpacing"/>
        <w:spacing w:after="120"/>
        <w:rPr>
          <w:rFonts w:asciiTheme="minorHAnsi" w:hAnsiTheme="minorHAnsi" w:cstheme="minorHAnsi"/>
          <w:sz w:val="22"/>
          <w:szCs w:val="22"/>
          <w:lang w:val="en-CA"/>
        </w:rPr>
      </w:pPr>
      <w:r w:rsidRPr="008E75FC">
        <w:rPr>
          <w:rFonts w:asciiTheme="minorHAnsi" w:hAnsiTheme="minorHAnsi" w:cstheme="minorHAnsi"/>
          <w:sz w:val="22"/>
          <w:szCs w:val="22"/>
          <w:lang w:val="en-CA"/>
        </w:rPr>
        <w:t>I</w:t>
      </w:r>
      <w:r w:rsidR="007A50D1" w:rsidRPr="008E75FC">
        <w:rPr>
          <w:rFonts w:asciiTheme="minorHAnsi" w:hAnsiTheme="minorHAnsi" w:cstheme="minorHAnsi"/>
          <w:sz w:val="22"/>
          <w:szCs w:val="22"/>
          <w:lang w:val="en-CA"/>
        </w:rPr>
        <w:t>n 2019,</w:t>
      </w:r>
      <w:r w:rsidRPr="008E75FC">
        <w:rPr>
          <w:rFonts w:asciiTheme="minorHAnsi" w:hAnsiTheme="minorHAnsi" w:cstheme="minorHAnsi"/>
          <w:sz w:val="22"/>
          <w:szCs w:val="22"/>
          <w:lang w:val="en-CA"/>
        </w:rPr>
        <w:t xml:space="preserve"> th</w:t>
      </w:r>
      <w:r w:rsidR="004D2FB9" w:rsidRPr="008E75FC">
        <w:rPr>
          <w:rFonts w:asciiTheme="minorHAnsi" w:hAnsiTheme="minorHAnsi" w:cstheme="minorHAnsi"/>
          <w:sz w:val="22"/>
          <w:szCs w:val="22"/>
          <w:lang w:val="en-CA"/>
        </w:rPr>
        <w:t>e PSC provided</w:t>
      </w:r>
      <w:r w:rsidR="00EF033C" w:rsidRPr="008E75FC">
        <w:rPr>
          <w:rFonts w:asciiTheme="minorHAnsi" w:hAnsiTheme="minorHAnsi" w:cstheme="minorHAnsi"/>
          <w:sz w:val="22"/>
          <w:szCs w:val="22"/>
          <w:lang w:val="en-CA"/>
        </w:rPr>
        <w:t xml:space="preserve"> ISC</w:t>
      </w:r>
      <w:r w:rsidR="004D2FB9" w:rsidRPr="008E75FC">
        <w:rPr>
          <w:rFonts w:asciiTheme="minorHAnsi" w:hAnsiTheme="minorHAnsi" w:cstheme="minorHAnsi"/>
          <w:sz w:val="22"/>
          <w:szCs w:val="22"/>
          <w:lang w:val="en-CA"/>
        </w:rPr>
        <w:t xml:space="preserve"> </w:t>
      </w:r>
      <w:r w:rsidR="00EF033C" w:rsidRPr="008E75FC">
        <w:rPr>
          <w:rFonts w:asciiTheme="minorHAnsi" w:hAnsiTheme="minorHAnsi" w:cstheme="minorHAnsi"/>
          <w:sz w:val="22"/>
          <w:szCs w:val="22"/>
          <w:lang w:val="en-CA"/>
        </w:rPr>
        <w:t xml:space="preserve">with </w:t>
      </w:r>
      <w:r w:rsidR="004D2FB9" w:rsidRPr="008E75FC">
        <w:rPr>
          <w:rFonts w:asciiTheme="minorHAnsi" w:hAnsiTheme="minorHAnsi" w:cstheme="minorHAnsi"/>
          <w:sz w:val="22"/>
          <w:szCs w:val="22"/>
          <w:lang w:val="en-CA"/>
        </w:rPr>
        <w:t xml:space="preserve">comments </w:t>
      </w:r>
      <w:r w:rsidR="00DB0D0C" w:rsidRPr="008E75FC">
        <w:rPr>
          <w:rFonts w:asciiTheme="minorHAnsi" w:hAnsiTheme="minorHAnsi" w:cstheme="minorHAnsi"/>
          <w:sz w:val="22"/>
          <w:szCs w:val="22"/>
          <w:lang w:val="en-CA"/>
        </w:rPr>
        <w:t>for the review of</w:t>
      </w:r>
      <w:r w:rsidR="004D2FB9" w:rsidRPr="008E75FC">
        <w:rPr>
          <w:rFonts w:asciiTheme="minorHAnsi" w:hAnsiTheme="minorHAnsi" w:cstheme="minorHAnsi"/>
          <w:sz w:val="22"/>
          <w:szCs w:val="22"/>
          <w:lang w:val="en-CA"/>
        </w:rPr>
        <w:t xml:space="preserve"> the</w:t>
      </w:r>
      <w:r w:rsidR="00EF033C" w:rsidRPr="008E75FC">
        <w:rPr>
          <w:rFonts w:asciiTheme="minorHAnsi" w:hAnsiTheme="minorHAnsi" w:cstheme="minorHAnsi"/>
          <w:sz w:val="22"/>
          <w:szCs w:val="22"/>
          <w:lang w:val="en-CA"/>
        </w:rPr>
        <w:t xml:space="preserve"> </w:t>
      </w:r>
      <w:r w:rsidR="004D2FB9" w:rsidRPr="008E75FC">
        <w:rPr>
          <w:rFonts w:asciiTheme="minorHAnsi" w:hAnsiTheme="minorHAnsi" w:cstheme="minorHAnsi"/>
          <w:sz w:val="22"/>
          <w:szCs w:val="22"/>
          <w:lang w:val="en-CA"/>
        </w:rPr>
        <w:t xml:space="preserve">sub-delegation of appointment and appointment-related </w:t>
      </w:r>
      <w:r w:rsidR="00993EC0" w:rsidRPr="008E75FC">
        <w:rPr>
          <w:rFonts w:asciiTheme="minorHAnsi" w:hAnsiTheme="minorHAnsi" w:cstheme="minorHAnsi"/>
          <w:sz w:val="22"/>
          <w:szCs w:val="22"/>
          <w:lang w:val="en-CA"/>
        </w:rPr>
        <w:t>authorities’</w:t>
      </w:r>
      <w:r w:rsidR="001B3381" w:rsidRPr="008E75FC">
        <w:rPr>
          <w:rFonts w:asciiTheme="minorHAnsi" w:hAnsiTheme="minorHAnsi" w:cstheme="minorHAnsi"/>
          <w:sz w:val="22"/>
          <w:szCs w:val="22"/>
          <w:lang w:val="en-CA"/>
        </w:rPr>
        <w:t xml:space="preserve"> instrument</w:t>
      </w:r>
      <w:r w:rsidR="004D2FB9" w:rsidRPr="008E75FC">
        <w:rPr>
          <w:rFonts w:asciiTheme="minorHAnsi" w:hAnsiTheme="minorHAnsi" w:cstheme="minorHAnsi"/>
          <w:sz w:val="22"/>
          <w:szCs w:val="22"/>
          <w:lang w:val="en-CA"/>
        </w:rPr>
        <w:t xml:space="preserve">. </w:t>
      </w:r>
      <w:r w:rsidR="00DB0D0C" w:rsidRPr="008E75FC">
        <w:rPr>
          <w:rFonts w:asciiTheme="minorHAnsi" w:hAnsiTheme="minorHAnsi" w:cstheme="minorHAnsi"/>
          <w:sz w:val="22"/>
          <w:szCs w:val="22"/>
          <w:lang w:val="en-CA"/>
        </w:rPr>
        <w:t>Once approved, t</w:t>
      </w:r>
      <w:r w:rsidR="004D2FB9" w:rsidRPr="008E75FC">
        <w:rPr>
          <w:rFonts w:asciiTheme="minorHAnsi" w:hAnsiTheme="minorHAnsi" w:cstheme="minorHAnsi"/>
          <w:sz w:val="22"/>
          <w:szCs w:val="22"/>
          <w:lang w:val="en-CA"/>
        </w:rPr>
        <w:t xml:space="preserve">he </w:t>
      </w:r>
      <w:r w:rsidR="00BD374B" w:rsidRPr="008E75FC">
        <w:rPr>
          <w:rFonts w:asciiTheme="minorHAnsi" w:hAnsiTheme="minorHAnsi" w:cstheme="minorHAnsi"/>
          <w:sz w:val="22"/>
          <w:szCs w:val="22"/>
          <w:lang w:val="en-CA"/>
        </w:rPr>
        <w:t xml:space="preserve">revised </w:t>
      </w:r>
      <w:r w:rsidR="004D2FB9" w:rsidRPr="008E75FC">
        <w:rPr>
          <w:rFonts w:asciiTheme="minorHAnsi" w:hAnsiTheme="minorHAnsi" w:cstheme="minorHAnsi"/>
          <w:sz w:val="22"/>
          <w:szCs w:val="22"/>
          <w:lang w:val="en-CA"/>
        </w:rPr>
        <w:t xml:space="preserve">version </w:t>
      </w:r>
      <w:r w:rsidR="00DB0D0C" w:rsidRPr="008E75FC">
        <w:rPr>
          <w:rFonts w:asciiTheme="minorHAnsi" w:hAnsiTheme="minorHAnsi" w:cstheme="minorHAnsi"/>
          <w:sz w:val="22"/>
          <w:szCs w:val="22"/>
          <w:lang w:val="en-CA"/>
        </w:rPr>
        <w:t xml:space="preserve">of this instrument </w:t>
      </w:r>
      <w:r w:rsidR="008E2A83" w:rsidRPr="008E75FC">
        <w:rPr>
          <w:rFonts w:asciiTheme="minorHAnsi" w:hAnsiTheme="minorHAnsi" w:cstheme="minorHAnsi"/>
          <w:sz w:val="22"/>
          <w:szCs w:val="22"/>
          <w:lang w:val="en-CA"/>
        </w:rPr>
        <w:t>will be shared with the PSC.</w:t>
      </w:r>
    </w:p>
    <w:p w14:paraId="71B3A10E" w14:textId="1C29925B" w:rsidR="00AA03F8" w:rsidRPr="008E75FC" w:rsidRDefault="00C73AFF" w:rsidP="00276844">
      <w:pPr>
        <w:pStyle w:val="Heading1"/>
        <w:spacing w:after="120"/>
        <w:rPr>
          <w:lang w:val="en-CA"/>
        </w:rPr>
      </w:pPr>
      <w:r w:rsidRPr="008E75FC">
        <w:rPr>
          <w:lang w:val="en-CA"/>
        </w:rPr>
        <w:t>Appointment Delegation and Accountability Instrument Annex D Reporting</w:t>
      </w:r>
    </w:p>
    <w:p w14:paraId="2FA0AD19" w14:textId="01E07D3C" w:rsidR="00AA03F8" w:rsidRPr="008E75FC" w:rsidRDefault="00C73AFF" w:rsidP="004D265F">
      <w:pPr>
        <w:pStyle w:val="Heading2"/>
        <w:spacing w:after="120"/>
        <w:rPr>
          <w:lang w:val="en-CA"/>
        </w:rPr>
      </w:pPr>
      <w:r w:rsidRPr="008E75FC">
        <w:rPr>
          <w:lang w:val="en-CA"/>
        </w:rPr>
        <w:t xml:space="preserve">Use of the </w:t>
      </w:r>
      <w:r w:rsidRPr="008E75FC">
        <w:rPr>
          <w:rStyle w:val="Emphasis"/>
          <w:lang w:val="en-CA"/>
        </w:rPr>
        <w:t>Public Service Official Languages Exclusion Approval Order</w:t>
      </w:r>
      <w:r w:rsidRPr="008E75FC">
        <w:rPr>
          <w:lang w:val="en-CA"/>
        </w:rPr>
        <w:t xml:space="preserve"> (PSOLEAO) and the </w:t>
      </w:r>
      <w:r w:rsidRPr="008E75FC">
        <w:rPr>
          <w:rStyle w:val="Emphasis"/>
          <w:lang w:val="en-CA"/>
        </w:rPr>
        <w:t>Public Service Official Languages Appointment Regulations</w:t>
      </w:r>
      <w:r w:rsidRPr="008E75FC">
        <w:rPr>
          <w:lang w:val="en-CA"/>
        </w:rPr>
        <w:t xml:space="preserve"> (PSOLAR)</w:t>
      </w:r>
    </w:p>
    <w:p w14:paraId="2E27B455" w14:textId="5D8792AD" w:rsidR="0082785F" w:rsidRPr="008E75FC" w:rsidRDefault="0082785F" w:rsidP="00276844">
      <w:pPr>
        <w:widowControl w:val="0"/>
        <w:autoSpaceDE w:val="0"/>
        <w:autoSpaceDN w:val="0"/>
        <w:adjustRightInd w:val="0"/>
        <w:spacing w:after="120"/>
        <w:rPr>
          <w:rFonts w:asciiTheme="minorHAnsi" w:hAnsiTheme="minorHAnsi" w:cstheme="minorHAnsi"/>
          <w:lang w:val="en-CA"/>
        </w:rPr>
      </w:pPr>
      <w:r w:rsidRPr="008E75FC">
        <w:rPr>
          <w:rFonts w:asciiTheme="minorHAnsi" w:hAnsiTheme="minorHAnsi" w:cstheme="minorHAnsi"/>
          <w:sz w:val="22"/>
          <w:szCs w:val="22"/>
          <w:lang w:val="en-CA"/>
        </w:rPr>
        <w:t>ISC</w:t>
      </w:r>
      <w:r w:rsidR="007378D3" w:rsidRPr="008E75FC">
        <w:rPr>
          <w:rFonts w:asciiTheme="minorHAnsi" w:hAnsiTheme="minorHAnsi" w:cstheme="minorHAnsi"/>
          <w:sz w:val="22"/>
          <w:szCs w:val="22"/>
          <w:lang w:val="en-CA"/>
        </w:rPr>
        <w:t xml:space="preserve"> reported that the organization made use of the </w:t>
      </w:r>
      <w:r w:rsidR="007378D3" w:rsidRPr="008E75FC">
        <w:rPr>
          <w:rStyle w:val="Emphasis"/>
          <w:rFonts w:asciiTheme="minorHAnsi" w:hAnsiTheme="minorHAnsi" w:cstheme="minorHAnsi"/>
          <w:sz w:val="22"/>
          <w:lang w:val="en-CA"/>
        </w:rPr>
        <w:t>P</w:t>
      </w:r>
      <w:r w:rsidRPr="008E75FC">
        <w:rPr>
          <w:rStyle w:val="Emphasis"/>
          <w:rFonts w:asciiTheme="minorHAnsi" w:hAnsiTheme="minorHAnsi" w:cstheme="minorHAnsi"/>
          <w:sz w:val="22"/>
          <w:lang w:val="en-CA"/>
        </w:rPr>
        <w:t xml:space="preserve">ublic Service Official Languages Exclusion Approval Order </w:t>
      </w:r>
      <w:r w:rsidR="007378D3" w:rsidRPr="008E75FC">
        <w:rPr>
          <w:rFonts w:asciiTheme="minorHAnsi" w:hAnsiTheme="minorHAnsi" w:cstheme="minorHAnsi"/>
          <w:sz w:val="22"/>
          <w:szCs w:val="22"/>
          <w:lang w:val="en-CA"/>
        </w:rPr>
        <w:t xml:space="preserve">and the </w:t>
      </w:r>
      <w:r w:rsidR="007378D3" w:rsidRPr="008E75FC">
        <w:rPr>
          <w:rStyle w:val="Emphasis"/>
          <w:rFonts w:asciiTheme="minorHAnsi" w:hAnsiTheme="minorHAnsi" w:cstheme="minorHAnsi"/>
          <w:sz w:val="22"/>
          <w:lang w:val="en-CA"/>
        </w:rPr>
        <w:t>P</w:t>
      </w:r>
      <w:r w:rsidRPr="008E75FC">
        <w:rPr>
          <w:rStyle w:val="Emphasis"/>
          <w:rFonts w:asciiTheme="minorHAnsi" w:hAnsiTheme="minorHAnsi" w:cstheme="minorHAnsi"/>
          <w:sz w:val="22"/>
          <w:lang w:val="en-CA"/>
        </w:rPr>
        <w:t xml:space="preserve">ublic </w:t>
      </w:r>
      <w:r w:rsidR="007378D3" w:rsidRPr="008E75FC">
        <w:rPr>
          <w:rStyle w:val="Emphasis"/>
          <w:rFonts w:asciiTheme="minorHAnsi" w:hAnsiTheme="minorHAnsi" w:cstheme="minorHAnsi"/>
          <w:sz w:val="22"/>
          <w:lang w:val="en-CA"/>
        </w:rPr>
        <w:t>S</w:t>
      </w:r>
      <w:r w:rsidRPr="008E75FC">
        <w:rPr>
          <w:rStyle w:val="Emphasis"/>
          <w:rFonts w:asciiTheme="minorHAnsi" w:hAnsiTheme="minorHAnsi" w:cstheme="minorHAnsi"/>
          <w:sz w:val="22"/>
          <w:lang w:val="en-CA"/>
        </w:rPr>
        <w:t xml:space="preserve">ervice </w:t>
      </w:r>
      <w:r w:rsidR="007378D3" w:rsidRPr="008E75FC">
        <w:rPr>
          <w:rStyle w:val="Emphasis"/>
          <w:rFonts w:asciiTheme="minorHAnsi" w:hAnsiTheme="minorHAnsi" w:cstheme="minorHAnsi"/>
          <w:sz w:val="22"/>
          <w:lang w:val="en-CA"/>
        </w:rPr>
        <w:t>O</w:t>
      </w:r>
      <w:r w:rsidRPr="008E75FC">
        <w:rPr>
          <w:rStyle w:val="Emphasis"/>
          <w:rFonts w:asciiTheme="minorHAnsi" w:hAnsiTheme="minorHAnsi" w:cstheme="minorHAnsi"/>
          <w:sz w:val="22"/>
          <w:lang w:val="en-CA"/>
        </w:rPr>
        <w:t xml:space="preserve">fficial </w:t>
      </w:r>
      <w:r w:rsidR="007378D3" w:rsidRPr="008E75FC">
        <w:rPr>
          <w:rStyle w:val="Emphasis"/>
          <w:rFonts w:asciiTheme="minorHAnsi" w:hAnsiTheme="minorHAnsi" w:cstheme="minorHAnsi"/>
          <w:sz w:val="22"/>
          <w:lang w:val="en-CA"/>
        </w:rPr>
        <w:t>L</w:t>
      </w:r>
      <w:r w:rsidRPr="008E75FC">
        <w:rPr>
          <w:rStyle w:val="Emphasis"/>
          <w:rFonts w:asciiTheme="minorHAnsi" w:hAnsiTheme="minorHAnsi" w:cstheme="minorHAnsi"/>
          <w:sz w:val="22"/>
          <w:lang w:val="en-CA"/>
        </w:rPr>
        <w:t xml:space="preserve">anguage </w:t>
      </w:r>
      <w:r w:rsidR="00AD3C02" w:rsidRPr="008E75FC">
        <w:rPr>
          <w:rStyle w:val="Emphasis"/>
          <w:rFonts w:asciiTheme="minorHAnsi" w:hAnsiTheme="minorHAnsi" w:cstheme="minorHAnsi"/>
          <w:sz w:val="22"/>
          <w:lang w:val="en-CA"/>
        </w:rPr>
        <w:t xml:space="preserve">Appointment </w:t>
      </w:r>
      <w:r w:rsidR="007378D3" w:rsidRPr="008E75FC">
        <w:rPr>
          <w:rStyle w:val="Emphasis"/>
          <w:rFonts w:asciiTheme="minorHAnsi" w:hAnsiTheme="minorHAnsi" w:cstheme="minorHAnsi"/>
          <w:sz w:val="22"/>
          <w:lang w:val="en-CA"/>
        </w:rPr>
        <w:t>R</w:t>
      </w:r>
      <w:r w:rsidRPr="008E75FC">
        <w:rPr>
          <w:rStyle w:val="Emphasis"/>
          <w:rFonts w:asciiTheme="minorHAnsi" w:hAnsiTheme="minorHAnsi" w:cstheme="minorHAnsi"/>
          <w:sz w:val="22"/>
          <w:lang w:val="en-CA"/>
        </w:rPr>
        <w:t>egulations</w:t>
      </w:r>
      <w:r w:rsidR="007378D3" w:rsidRPr="008E75FC">
        <w:rPr>
          <w:rFonts w:asciiTheme="minorHAnsi" w:hAnsiTheme="minorHAnsi" w:cstheme="minorHAnsi"/>
          <w:sz w:val="20"/>
          <w:szCs w:val="22"/>
          <w:lang w:val="en-CA"/>
        </w:rPr>
        <w:t xml:space="preserve"> </w:t>
      </w:r>
      <w:r w:rsidR="007378D3" w:rsidRPr="008E75FC">
        <w:rPr>
          <w:rFonts w:asciiTheme="minorHAnsi" w:hAnsiTheme="minorHAnsi" w:cstheme="minorHAnsi"/>
          <w:sz w:val="22"/>
          <w:szCs w:val="22"/>
          <w:lang w:val="en-CA"/>
        </w:rPr>
        <w:t xml:space="preserve">for the period </w:t>
      </w:r>
      <w:r w:rsidR="00030C43" w:rsidRPr="008E75FC">
        <w:rPr>
          <w:rFonts w:asciiTheme="minorHAnsi" w:hAnsiTheme="minorHAnsi" w:cstheme="minorHAnsi"/>
          <w:sz w:val="22"/>
          <w:szCs w:val="22"/>
          <w:lang w:val="en-CA"/>
        </w:rPr>
        <w:t>from</w:t>
      </w:r>
      <w:r w:rsidR="007378D3" w:rsidRPr="008E75FC">
        <w:rPr>
          <w:rFonts w:asciiTheme="minorHAnsi" w:hAnsiTheme="minorHAnsi" w:cstheme="minorHAnsi"/>
          <w:sz w:val="22"/>
          <w:szCs w:val="22"/>
          <w:lang w:val="en-CA"/>
        </w:rPr>
        <w:t xml:space="preserve"> April 1, </w:t>
      </w:r>
      <w:r w:rsidRPr="008E75FC">
        <w:rPr>
          <w:rFonts w:asciiTheme="minorHAnsi" w:hAnsiTheme="minorHAnsi" w:cstheme="minorHAnsi"/>
          <w:sz w:val="22"/>
          <w:szCs w:val="22"/>
          <w:lang w:val="en-CA"/>
        </w:rPr>
        <w:t>2019</w:t>
      </w:r>
      <w:r w:rsidR="00030C43" w:rsidRPr="008E75FC">
        <w:rPr>
          <w:rFonts w:asciiTheme="minorHAnsi" w:hAnsiTheme="minorHAnsi" w:cstheme="minorHAnsi"/>
          <w:sz w:val="22"/>
          <w:szCs w:val="22"/>
          <w:lang w:val="en-CA"/>
        </w:rPr>
        <w:t>,</w:t>
      </w:r>
      <w:r w:rsidR="007378D3" w:rsidRPr="008E75FC">
        <w:rPr>
          <w:rFonts w:asciiTheme="minorHAnsi" w:hAnsiTheme="minorHAnsi" w:cstheme="minorHAnsi"/>
          <w:sz w:val="22"/>
          <w:szCs w:val="22"/>
          <w:lang w:val="en-CA"/>
        </w:rPr>
        <w:t xml:space="preserve"> </w:t>
      </w:r>
      <w:r w:rsidR="001B7B66" w:rsidRPr="008E75FC">
        <w:rPr>
          <w:rFonts w:asciiTheme="minorHAnsi" w:hAnsiTheme="minorHAnsi" w:cstheme="minorHAnsi"/>
          <w:sz w:val="22"/>
          <w:szCs w:val="22"/>
          <w:lang w:val="en-CA"/>
        </w:rPr>
        <w:t>to</w:t>
      </w:r>
      <w:r w:rsidR="007378D3" w:rsidRPr="008E75FC">
        <w:rPr>
          <w:rFonts w:asciiTheme="minorHAnsi" w:hAnsiTheme="minorHAnsi" w:cstheme="minorHAnsi"/>
          <w:sz w:val="22"/>
          <w:szCs w:val="22"/>
          <w:lang w:val="en-CA"/>
        </w:rPr>
        <w:t xml:space="preserve"> March 31,</w:t>
      </w:r>
      <w:r w:rsidRPr="008E75FC">
        <w:rPr>
          <w:rFonts w:asciiTheme="minorHAnsi" w:hAnsiTheme="minorHAnsi" w:cstheme="minorHAnsi"/>
          <w:sz w:val="22"/>
          <w:szCs w:val="22"/>
          <w:lang w:val="en-CA"/>
        </w:rPr>
        <w:t xml:space="preserve"> 2020.</w:t>
      </w:r>
      <w:r w:rsidR="0041510C" w:rsidRPr="008E75FC">
        <w:rPr>
          <w:rFonts w:asciiTheme="minorHAnsi" w:hAnsiTheme="minorHAnsi" w:cstheme="minorHAnsi"/>
          <w:sz w:val="22"/>
          <w:szCs w:val="22"/>
          <w:lang w:val="en-CA"/>
        </w:rPr>
        <w:t xml:space="preserve"> Two cases </w:t>
      </w:r>
      <w:r w:rsidR="00D73EFB" w:rsidRPr="008E75FC">
        <w:rPr>
          <w:rFonts w:asciiTheme="minorHAnsi" w:hAnsiTheme="minorHAnsi" w:cstheme="minorHAnsi"/>
          <w:sz w:val="22"/>
          <w:szCs w:val="22"/>
          <w:lang w:val="en-CA"/>
        </w:rPr>
        <w:t>exceeding</w:t>
      </w:r>
      <w:r w:rsidR="001B3381" w:rsidRPr="008E75FC">
        <w:rPr>
          <w:rFonts w:asciiTheme="minorHAnsi" w:hAnsiTheme="minorHAnsi" w:cstheme="minorHAnsi"/>
          <w:sz w:val="22"/>
          <w:szCs w:val="22"/>
          <w:lang w:val="en-CA"/>
        </w:rPr>
        <w:t xml:space="preserve"> </w:t>
      </w:r>
      <w:r w:rsidR="0041510C" w:rsidRPr="008E75FC">
        <w:rPr>
          <w:rFonts w:asciiTheme="minorHAnsi" w:hAnsiTheme="minorHAnsi" w:cstheme="minorHAnsi"/>
          <w:sz w:val="22"/>
          <w:szCs w:val="22"/>
          <w:lang w:val="en-CA"/>
        </w:rPr>
        <w:t xml:space="preserve">the period to become bilingual </w:t>
      </w:r>
      <w:r w:rsidR="00546B2C" w:rsidRPr="008E75FC">
        <w:rPr>
          <w:rFonts w:asciiTheme="minorHAnsi" w:hAnsiTheme="minorHAnsi" w:cstheme="minorHAnsi"/>
          <w:sz w:val="22"/>
          <w:szCs w:val="22"/>
          <w:lang w:val="en-CA"/>
        </w:rPr>
        <w:t>were</w:t>
      </w:r>
      <w:r w:rsidR="0041510C" w:rsidRPr="008E75FC">
        <w:rPr>
          <w:rFonts w:asciiTheme="minorHAnsi" w:hAnsiTheme="minorHAnsi" w:cstheme="minorHAnsi"/>
          <w:sz w:val="22"/>
          <w:szCs w:val="22"/>
          <w:lang w:val="en-CA"/>
        </w:rPr>
        <w:t xml:space="preserve"> still unresolved. With the PSC’s support, these cases were tr</w:t>
      </w:r>
      <w:r w:rsidR="001B3381" w:rsidRPr="008E75FC">
        <w:rPr>
          <w:rFonts w:asciiTheme="minorHAnsi" w:hAnsiTheme="minorHAnsi" w:cstheme="minorHAnsi"/>
          <w:sz w:val="22"/>
          <w:szCs w:val="22"/>
          <w:lang w:val="en-CA"/>
        </w:rPr>
        <w:t>ansferred for handling by</w:t>
      </w:r>
      <w:r w:rsidR="0041510C" w:rsidRPr="008E75FC">
        <w:rPr>
          <w:rFonts w:asciiTheme="minorHAnsi" w:hAnsiTheme="minorHAnsi" w:cstheme="minorHAnsi"/>
          <w:sz w:val="22"/>
          <w:szCs w:val="22"/>
          <w:lang w:val="en-CA"/>
        </w:rPr>
        <w:t xml:space="preserve"> an ISC official languages specialist.</w:t>
      </w:r>
    </w:p>
    <w:p w14:paraId="5FABE17F" w14:textId="2BBFF912" w:rsidR="00AA03F8" w:rsidRPr="008E75FC" w:rsidRDefault="004D54D0" w:rsidP="004D265F">
      <w:pPr>
        <w:pStyle w:val="Heading2"/>
        <w:spacing w:after="120"/>
        <w:rPr>
          <w:lang w:val="en-CA"/>
        </w:rPr>
      </w:pPr>
      <w:r w:rsidRPr="008E75FC">
        <w:rPr>
          <w:lang w:val="en-CA"/>
        </w:rPr>
        <w:t>Approved Deputy Head Exceptions to the National Area of Selection (NAOS) Requirements for an External Advertised Appointment Process</w:t>
      </w:r>
    </w:p>
    <w:p w14:paraId="54DDCFD4" w14:textId="77777777" w:rsidR="00276844" w:rsidRPr="008E75FC" w:rsidRDefault="00D077D5" w:rsidP="004D265F">
      <w:pPr>
        <w:pStyle w:val="NoSpacing"/>
        <w:spacing w:after="120"/>
        <w:rPr>
          <w:rFonts w:asciiTheme="minorHAnsi" w:hAnsiTheme="minorHAnsi" w:cstheme="minorHAnsi"/>
          <w:sz w:val="22"/>
          <w:szCs w:val="22"/>
          <w:lang w:val="en-CA"/>
        </w:rPr>
        <w:sectPr w:rsidR="00276844" w:rsidRPr="008E75FC" w:rsidSect="005D4281">
          <w:pgSz w:w="12240" w:h="15840"/>
          <w:pgMar w:top="1440" w:right="1080" w:bottom="1440" w:left="1080" w:header="709" w:footer="284" w:gutter="0"/>
          <w:cols w:space="708"/>
          <w:titlePg/>
          <w:docGrid w:linePitch="360"/>
        </w:sectPr>
      </w:pPr>
      <w:r w:rsidRPr="008E75FC">
        <w:rPr>
          <w:rFonts w:asciiTheme="minorHAnsi" w:hAnsiTheme="minorHAnsi" w:cstheme="minorHAnsi"/>
          <w:sz w:val="22"/>
          <w:szCs w:val="22"/>
          <w:lang w:val="en-CA"/>
        </w:rPr>
        <w:t>ISC</w:t>
      </w:r>
      <w:r w:rsidR="007378D3" w:rsidRPr="008E75FC">
        <w:rPr>
          <w:rFonts w:asciiTheme="minorHAnsi" w:hAnsiTheme="minorHAnsi" w:cstheme="minorHAnsi"/>
          <w:sz w:val="22"/>
          <w:szCs w:val="22"/>
          <w:lang w:val="en-CA"/>
        </w:rPr>
        <w:t xml:space="preserve"> reported that the DH </w:t>
      </w:r>
      <w:r w:rsidRPr="008E75FC">
        <w:rPr>
          <w:rFonts w:asciiTheme="minorHAnsi" w:hAnsiTheme="minorHAnsi" w:cstheme="minorHAnsi"/>
          <w:sz w:val="22"/>
          <w:szCs w:val="22"/>
          <w:lang w:val="en-CA"/>
        </w:rPr>
        <w:t>did not approve any e</w:t>
      </w:r>
      <w:r w:rsidR="007378D3" w:rsidRPr="008E75FC">
        <w:rPr>
          <w:rFonts w:asciiTheme="minorHAnsi" w:hAnsiTheme="minorHAnsi" w:cstheme="minorHAnsi"/>
          <w:sz w:val="22"/>
          <w:szCs w:val="22"/>
          <w:lang w:val="en-CA"/>
        </w:rPr>
        <w:t>xception</w:t>
      </w:r>
      <w:r w:rsidR="001B7B66" w:rsidRPr="008E75FC">
        <w:rPr>
          <w:rFonts w:asciiTheme="minorHAnsi" w:hAnsiTheme="minorHAnsi" w:cstheme="minorHAnsi"/>
          <w:sz w:val="22"/>
          <w:szCs w:val="22"/>
          <w:lang w:val="en-CA"/>
        </w:rPr>
        <w:t>s</w:t>
      </w:r>
      <w:r w:rsidR="007378D3" w:rsidRPr="008E75FC">
        <w:rPr>
          <w:rFonts w:asciiTheme="minorHAnsi" w:hAnsiTheme="minorHAnsi" w:cstheme="minorHAnsi"/>
          <w:b/>
          <w:i/>
          <w:sz w:val="22"/>
          <w:szCs w:val="22"/>
          <w:lang w:val="en-CA"/>
        </w:rPr>
        <w:t xml:space="preserve"> </w:t>
      </w:r>
      <w:r w:rsidRPr="008E75FC">
        <w:rPr>
          <w:rFonts w:asciiTheme="minorHAnsi" w:hAnsiTheme="minorHAnsi" w:cstheme="minorHAnsi"/>
          <w:sz w:val="22"/>
          <w:szCs w:val="22"/>
          <w:lang w:val="en-CA"/>
        </w:rPr>
        <w:t>to the national area of selection from April</w:t>
      </w:r>
      <w:r w:rsidR="00030C43" w:rsidRPr="008E75FC">
        <w:rPr>
          <w:rFonts w:asciiTheme="minorHAnsi" w:hAnsiTheme="minorHAnsi" w:cstheme="minorHAnsi"/>
          <w:sz w:val="22"/>
          <w:szCs w:val="22"/>
          <w:lang w:val="en-CA"/>
        </w:rPr>
        <w:t> </w:t>
      </w:r>
      <w:r w:rsidRPr="008E75FC">
        <w:rPr>
          <w:rFonts w:asciiTheme="minorHAnsi" w:hAnsiTheme="minorHAnsi" w:cstheme="minorHAnsi"/>
          <w:sz w:val="22"/>
          <w:szCs w:val="22"/>
          <w:lang w:val="en-CA"/>
        </w:rPr>
        <w:t>1, 2019</w:t>
      </w:r>
      <w:r w:rsidR="00030C43" w:rsidRPr="008E75FC">
        <w:rPr>
          <w:rFonts w:asciiTheme="minorHAnsi" w:hAnsiTheme="minorHAnsi" w:cstheme="minorHAnsi"/>
          <w:sz w:val="22"/>
          <w:szCs w:val="22"/>
          <w:lang w:val="en-CA"/>
        </w:rPr>
        <w:t>,</w:t>
      </w:r>
      <w:r w:rsidRPr="008E75FC">
        <w:rPr>
          <w:rFonts w:asciiTheme="minorHAnsi" w:hAnsiTheme="minorHAnsi" w:cstheme="minorHAnsi"/>
          <w:sz w:val="22"/>
          <w:szCs w:val="22"/>
          <w:lang w:val="en-CA"/>
        </w:rPr>
        <w:t xml:space="preserve"> to March 31, 2020. </w:t>
      </w:r>
    </w:p>
    <w:p w14:paraId="0A221D05" w14:textId="14B5FEE7" w:rsidR="00AA03F8" w:rsidRPr="008E75FC" w:rsidRDefault="000E70A9" w:rsidP="00542A5E">
      <w:pPr>
        <w:pStyle w:val="Heading2"/>
        <w:spacing w:after="120"/>
        <w:rPr>
          <w:lang w:val="en-CA"/>
        </w:rPr>
      </w:pPr>
      <w:r w:rsidRPr="008E75FC">
        <w:rPr>
          <w:lang w:val="en-CA"/>
        </w:rPr>
        <w:lastRenderedPageBreak/>
        <w:t>Results of Organizational Cyclical Assessment</w:t>
      </w:r>
    </w:p>
    <w:p w14:paraId="76FF336D" w14:textId="0FB21180" w:rsidR="00E524A6" w:rsidRPr="008E75FC" w:rsidRDefault="00546B2C" w:rsidP="00276844">
      <w:pPr>
        <w:pStyle w:val="NoSpacing"/>
        <w:spacing w:after="120"/>
        <w:rPr>
          <w:rFonts w:asciiTheme="minorHAnsi" w:hAnsiTheme="minorHAnsi" w:cstheme="minorHAnsi"/>
          <w:sz w:val="22"/>
          <w:szCs w:val="22"/>
          <w:lang w:val="en-CA" w:eastAsia="en-CA"/>
        </w:rPr>
      </w:pPr>
      <w:r w:rsidRPr="008E75FC">
        <w:rPr>
          <w:rFonts w:asciiTheme="minorHAnsi" w:hAnsiTheme="minorHAnsi" w:cstheme="minorHAnsi"/>
          <w:sz w:val="22"/>
          <w:szCs w:val="22"/>
          <w:lang w:val="en-CA" w:eastAsia="en-CA"/>
        </w:rPr>
        <w:t>Although the first cyclical assessment submitted in January 2018 was produced before the structural changes</w:t>
      </w:r>
      <w:r w:rsidR="001B3381" w:rsidRPr="008E75FC">
        <w:rPr>
          <w:rFonts w:asciiTheme="minorHAnsi" w:hAnsiTheme="minorHAnsi" w:cstheme="minorHAnsi"/>
          <w:sz w:val="22"/>
          <w:szCs w:val="22"/>
          <w:lang w:val="en-CA" w:eastAsia="en-CA"/>
        </w:rPr>
        <w:t xml:space="preserve"> were made</w:t>
      </w:r>
      <w:r w:rsidRPr="008E75FC">
        <w:rPr>
          <w:rFonts w:asciiTheme="minorHAnsi" w:hAnsiTheme="minorHAnsi" w:cstheme="minorHAnsi"/>
          <w:sz w:val="22"/>
          <w:szCs w:val="22"/>
          <w:lang w:val="en-CA" w:eastAsia="en-CA"/>
        </w:rPr>
        <w:t xml:space="preserve"> </w:t>
      </w:r>
      <w:r w:rsidR="008441DF" w:rsidRPr="008E75FC">
        <w:rPr>
          <w:rFonts w:asciiTheme="minorHAnsi" w:hAnsiTheme="minorHAnsi" w:cstheme="minorHAnsi"/>
          <w:sz w:val="22"/>
          <w:szCs w:val="22"/>
          <w:lang w:val="en-CA" w:eastAsia="en-CA"/>
        </w:rPr>
        <w:t>at</w:t>
      </w:r>
      <w:r w:rsidRPr="008E75FC">
        <w:rPr>
          <w:rFonts w:asciiTheme="minorHAnsi" w:hAnsiTheme="minorHAnsi" w:cstheme="minorHAnsi"/>
          <w:sz w:val="22"/>
          <w:szCs w:val="22"/>
          <w:lang w:val="en-CA" w:eastAsia="en-CA"/>
        </w:rPr>
        <w:t xml:space="preserve"> INAC, the PSC accepted </w:t>
      </w:r>
      <w:r w:rsidR="001B3381" w:rsidRPr="008E75FC">
        <w:rPr>
          <w:rFonts w:asciiTheme="minorHAnsi" w:hAnsiTheme="minorHAnsi" w:cstheme="minorHAnsi"/>
          <w:sz w:val="22"/>
          <w:szCs w:val="22"/>
          <w:lang w:val="en-CA" w:eastAsia="en-CA"/>
        </w:rPr>
        <w:t>the assessment</w:t>
      </w:r>
      <w:r w:rsidRPr="008E75FC">
        <w:rPr>
          <w:rFonts w:asciiTheme="minorHAnsi" w:hAnsiTheme="minorHAnsi" w:cstheme="minorHAnsi"/>
          <w:sz w:val="22"/>
          <w:szCs w:val="22"/>
          <w:lang w:val="en-CA" w:eastAsia="en-CA"/>
        </w:rPr>
        <w:t xml:space="preserve"> for both ISC and CIRNAC. The results of the next </w:t>
      </w:r>
      <w:r w:rsidR="001B3381" w:rsidRPr="008E75FC">
        <w:rPr>
          <w:rFonts w:asciiTheme="minorHAnsi" w:hAnsiTheme="minorHAnsi" w:cstheme="minorHAnsi"/>
          <w:sz w:val="22"/>
          <w:szCs w:val="22"/>
          <w:lang w:val="en-CA" w:eastAsia="en-CA"/>
        </w:rPr>
        <w:t xml:space="preserve">ISC </w:t>
      </w:r>
      <w:r w:rsidRPr="008E75FC">
        <w:rPr>
          <w:rFonts w:asciiTheme="minorHAnsi" w:hAnsiTheme="minorHAnsi" w:cstheme="minorHAnsi"/>
          <w:sz w:val="22"/>
          <w:szCs w:val="22"/>
          <w:lang w:val="en-CA" w:eastAsia="en-CA"/>
        </w:rPr>
        <w:t xml:space="preserve">cyclical assessment are therefore expected by May 1, 2023. </w:t>
      </w:r>
    </w:p>
    <w:p w14:paraId="70F76824" w14:textId="235CA8CF" w:rsidR="00AA03F8" w:rsidRPr="008E75FC" w:rsidRDefault="000E70A9" w:rsidP="00542A5E">
      <w:pPr>
        <w:pStyle w:val="Heading2"/>
        <w:spacing w:after="120"/>
        <w:rPr>
          <w:lang w:val="en-CA"/>
        </w:rPr>
      </w:pPr>
      <w:r w:rsidRPr="008E75FC">
        <w:rPr>
          <w:lang w:val="en-CA"/>
        </w:rPr>
        <w:t>Inquiries and Trends</w:t>
      </w:r>
    </w:p>
    <w:p w14:paraId="7A0D3C2F" w14:textId="7DE288BD" w:rsidR="00E524A6" w:rsidRPr="008E75FC" w:rsidRDefault="00725797" w:rsidP="00276844">
      <w:pPr>
        <w:pStyle w:val="NoSpacing"/>
        <w:spacing w:after="120"/>
        <w:rPr>
          <w:rFonts w:asciiTheme="minorHAnsi" w:hAnsiTheme="minorHAnsi" w:cstheme="minorHAnsi"/>
          <w:sz w:val="22"/>
          <w:szCs w:val="22"/>
          <w:lang w:val="en-CA"/>
        </w:rPr>
      </w:pPr>
      <w:r w:rsidRPr="008E75FC">
        <w:rPr>
          <w:rFonts w:asciiTheme="minorHAnsi" w:hAnsiTheme="minorHAnsi" w:cstheme="minorHAnsi"/>
          <w:sz w:val="22"/>
          <w:szCs w:val="22"/>
          <w:lang w:val="en-CA"/>
        </w:rPr>
        <w:t>Since April 1, 2020, the PSC’s staffing support advisors have responded to 20 inquiries from ISC</w:t>
      </w:r>
      <w:r w:rsidR="003C3B6E" w:rsidRPr="008E75FC">
        <w:rPr>
          <w:rFonts w:asciiTheme="minorHAnsi" w:hAnsiTheme="minorHAnsi" w:cstheme="minorHAnsi"/>
          <w:sz w:val="22"/>
          <w:szCs w:val="22"/>
          <w:lang w:val="en-CA"/>
        </w:rPr>
        <w:t xml:space="preserve"> </w:t>
      </w:r>
      <w:r w:rsidR="00EA4BF5" w:rsidRPr="008E75FC">
        <w:rPr>
          <w:rFonts w:asciiTheme="minorHAnsi" w:hAnsiTheme="minorHAnsi" w:cstheme="minorHAnsi"/>
          <w:sz w:val="22"/>
          <w:szCs w:val="22"/>
          <w:lang w:val="en-CA"/>
        </w:rPr>
        <w:t xml:space="preserve">as </w:t>
      </w:r>
      <w:r w:rsidR="003C3B6E" w:rsidRPr="008E75FC">
        <w:rPr>
          <w:rFonts w:asciiTheme="minorHAnsi" w:hAnsiTheme="minorHAnsi" w:cstheme="minorHAnsi"/>
          <w:sz w:val="22"/>
          <w:szCs w:val="22"/>
          <w:lang w:val="en-CA"/>
        </w:rPr>
        <w:t xml:space="preserve">compared </w:t>
      </w:r>
      <w:r w:rsidR="00EA4BF5" w:rsidRPr="008E75FC">
        <w:rPr>
          <w:rFonts w:asciiTheme="minorHAnsi" w:hAnsiTheme="minorHAnsi" w:cstheme="minorHAnsi"/>
          <w:sz w:val="22"/>
          <w:szCs w:val="22"/>
          <w:lang w:val="en-CA"/>
        </w:rPr>
        <w:t>to</w:t>
      </w:r>
      <w:r w:rsidR="001B3381" w:rsidRPr="008E75FC">
        <w:rPr>
          <w:rFonts w:asciiTheme="minorHAnsi" w:hAnsiTheme="minorHAnsi" w:cstheme="minorHAnsi"/>
          <w:sz w:val="22"/>
          <w:szCs w:val="22"/>
          <w:lang w:val="en-CA"/>
        </w:rPr>
        <w:t xml:space="preserve"> 25 inquiries in 2019</w:t>
      </w:r>
      <w:r w:rsidR="00037E7D" w:rsidRPr="008E75FC">
        <w:rPr>
          <w:rFonts w:asciiTheme="minorHAnsi" w:hAnsiTheme="minorHAnsi" w:cstheme="minorHAnsi"/>
          <w:sz w:val="22"/>
          <w:szCs w:val="22"/>
          <w:lang w:val="en-CA"/>
        </w:rPr>
        <w:t>-</w:t>
      </w:r>
      <w:r w:rsidR="001B3381" w:rsidRPr="008E75FC">
        <w:rPr>
          <w:rFonts w:asciiTheme="minorHAnsi" w:hAnsiTheme="minorHAnsi" w:cstheme="minorHAnsi"/>
          <w:sz w:val="22"/>
          <w:szCs w:val="22"/>
          <w:lang w:val="en-CA"/>
        </w:rPr>
        <w:t>2020</w:t>
      </w:r>
      <w:r w:rsidRPr="008E75FC">
        <w:rPr>
          <w:rFonts w:asciiTheme="minorHAnsi" w:hAnsiTheme="minorHAnsi" w:cstheme="minorHAnsi"/>
          <w:sz w:val="22"/>
          <w:szCs w:val="22"/>
          <w:lang w:val="en-CA"/>
        </w:rPr>
        <w:t xml:space="preserve">. </w:t>
      </w:r>
      <w:r w:rsidR="00C62DE4" w:rsidRPr="008E75FC">
        <w:rPr>
          <w:rFonts w:asciiTheme="minorHAnsi" w:hAnsiTheme="minorHAnsi" w:cstheme="minorHAnsi"/>
          <w:sz w:val="22"/>
          <w:szCs w:val="22"/>
          <w:lang w:val="en-CA"/>
        </w:rPr>
        <w:t>Topics most freq</w:t>
      </w:r>
      <w:r w:rsidR="001B3381" w:rsidRPr="008E75FC">
        <w:rPr>
          <w:rFonts w:asciiTheme="minorHAnsi" w:hAnsiTheme="minorHAnsi" w:cstheme="minorHAnsi"/>
          <w:sz w:val="22"/>
          <w:szCs w:val="22"/>
          <w:lang w:val="en-CA"/>
        </w:rPr>
        <w:t>uently addressed include second</w:t>
      </w:r>
      <w:r w:rsidR="00037E7D" w:rsidRPr="008E75FC">
        <w:rPr>
          <w:rFonts w:asciiTheme="minorHAnsi" w:hAnsiTheme="minorHAnsi" w:cstheme="minorHAnsi"/>
          <w:sz w:val="22"/>
          <w:szCs w:val="22"/>
          <w:lang w:val="en-CA"/>
        </w:rPr>
        <w:t xml:space="preserve"> </w:t>
      </w:r>
      <w:r w:rsidR="001B3381" w:rsidRPr="008E75FC">
        <w:rPr>
          <w:rFonts w:asciiTheme="minorHAnsi" w:hAnsiTheme="minorHAnsi" w:cstheme="minorHAnsi"/>
          <w:sz w:val="22"/>
          <w:szCs w:val="22"/>
          <w:lang w:val="en-CA"/>
        </w:rPr>
        <w:t>language evaluation and the application of</w:t>
      </w:r>
      <w:r w:rsidR="00C62DE4" w:rsidRPr="008E75FC">
        <w:rPr>
          <w:rFonts w:asciiTheme="minorHAnsi" w:hAnsiTheme="minorHAnsi" w:cstheme="minorHAnsi"/>
          <w:sz w:val="22"/>
          <w:szCs w:val="22"/>
          <w:lang w:val="en-CA"/>
        </w:rPr>
        <w:t xml:space="preserve"> new </w:t>
      </w:r>
      <w:r w:rsidR="00037E7D" w:rsidRPr="008E75FC">
        <w:rPr>
          <w:rFonts w:asciiTheme="minorHAnsi" w:hAnsiTheme="minorHAnsi" w:cstheme="minorHAnsi"/>
          <w:sz w:val="22"/>
          <w:szCs w:val="22"/>
          <w:lang w:val="en-CA"/>
        </w:rPr>
        <w:t xml:space="preserve">temporary </w:t>
      </w:r>
      <w:r w:rsidR="00C62DE4" w:rsidRPr="008E75FC">
        <w:rPr>
          <w:rFonts w:asciiTheme="minorHAnsi" w:hAnsiTheme="minorHAnsi" w:cstheme="minorHAnsi"/>
          <w:sz w:val="22"/>
          <w:szCs w:val="22"/>
          <w:lang w:val="en-CA"/>
        </w:rPr>
        <w:t>evaluation measures</w:t>
      </w:r>
      <w:r w:rsidR="00030C43" w:rsidRPr="008E75FC">
        <w:rPr>
          <w:rFonts w:asciiTheme="minorHAnsi" w:hAnsiTheme="minorHAnsi" w:cstheme="minorHAnsi"/>
          <w:sz w:val="22"/>
          <w:szCs w:val="22"/>
          <w:lang w:val="en-CA"/>
        </w:rPr>
        <w:t>,</w:t>
      </w:r>
      <w:r w:rsidR="00C62DE4" w:rsidRPr="008E75FC">
        <w:rPr>
          <w:rFonts w:asciiTheme="minorHAnsi" w:hAnsiTheme="minorHAnsi" w:cstheme="minorHAnsi"/>
          <w:sz w:val="22"/>
          <w:szCs w:val="22"/>
          <w:lang w:val="en-CA"/>
        </w:rPr>
        <w:t xml:space="preserve"> information sessions</w:t>
      </w:r>
      <w:r w:rsidR="00030C43" w:rsidRPr="008E75FC">
        <w:rPr>
          <w:rFonts w:asciiTheme="minorHAnsi" w:hAnsiTheme="minorHAnsi" w:cstheme="minorHAnsi"/>
          <w:sz w:val="22"/>
          <w:szCs w:val="22"/>
          <w:lang w:val="en-CA"/>
        </w:rPr>
        <w:t>,</w:t>
      </w:r>
      <w:r w:rsidR="00C62DE4" w:rsidRPr="008E75FC">
        <w:rPr>
          <w:rFonts w:asciiTheme="minorHAnsi" w:hAnsiTheme="minorHAnsi" w:cstheme="minorHAnsi"/>
          <w:sz w:val="22"/>
          <w:szCs w:val="22"/>
          <w:lang w:val="en-CA"/>
        </w:rPr>
        <w:t xml:space="preserve"> monitoring and reporting</w:t>
      </w:r>
      <w:r w:rsidR="00030C43" w:rsidRPr="008E75FC">
        <w:rPr>
          <w:rFonts w:asciiTheme="minorHAnsi" w:hAnsiTheme="minorHAnsi" w:cstheme="minorHAnsi"/>
          <w:sz w:val="22"/>
          <w:szCs w:val="22"/>
          <w:lang w:val="en-CA"/>
        </w:rPr>
        <w:t>,</w:t>
      </w:r>
      <w:r w:rsidR="00C62DE4" w:rsidRPr="008E75FC">
        <w:rPr>
          <w:rFonts w:asciiTheme="minorHAnsi" w:hAnsiTheme="minorHAnsi" w:cstheme="minorHAnsi"/>
          <w:sz w:val="22"/>
          <w:szCs w:val="22"/>
          <w:lang w:val="en-CA"/>
        </w:rPr>
        <w:t xml:space="preserve"> and priority administration.</w:t>
      </w:r>
    </w:p>
    <w:p w14:paraId="1BC155BA" w14:textId="58FBEA67" w:rsidR="00AA03F8" w:rsidRPr="008E75FC" w:rsidRDefault="001679B0" w:rsidP="001A20D8">
      <w:pPr>
        <w:pStyle w:val="Heading1"/>
        <w:spacing w:after="120"/>
        <w:rPr>
          <w:lang w:val="en-CA"/>
        </w:rPr>
      </w:pPr>
      <w:r w:rsidRPr="008E75FC">
        <w:rPr>
          <w:lang w:val="en-CA"/>
        </w:rPr>
        <w:t>Oversight</w:t>
      </w:r>
    </w:p>
    <w:p w14:paraId="7086C964" w14:textId="535C4EED" w:rsidR="00AA03F8" w:rsidRPr="008E75FC" w:rsidRDefault="001679B0" w:rsidP="001A20D8">
      <w:pPr>
        <w:pStyle w:val="Heading2"/>
        <w:spacing w:after="120"/>
        <w:rPr>
          <w:u w:val="single"/>
          <w:lang w:val="en-CA"/>
        </w:rPr>
      </w:pPr>
      <w:r w:rsidRPr="008E75FC">
        <w:rPr>
          <w:lang w:val="en-CA"/>
        </w:rPr>
        <w:t>Audits</w:t>
      </w:r>
    </w:p>
    <w:p w14:paraId="45AF3333" w14:textId="24E83EF3" w:rsidR="00E524A6" w:rsidRPr="008E75FC" w:rsidRDefault="00C62DE4" w:rsidP="00276844">
      <w:pPr>
        <w:tabs>
          <w:tab w:val="left" w:pos="7470"/>
        </w:tabs>
        <w:spacing w:after="120"/>
        <w:rPr>
          <w:rFonts w:asciiTheme="minorHAnsi" w:hAnsiTheme="minorHAnsi" w:cstheme="minorHAnsi"/>
          <w:kern w:val="36"/>
          <w:sz w:val="22"/>
          <w:szCs w:val="22"/>
          <w:lang w:val="en-CA"/>
        </w:rPr>
      </w:pPr>
      <w:r w:rsidRPr="008E75FC">
        <w:rPr>
          <w:rStyle w:val="Hyperlink"/>
          <w:rFonts w:asciiTheme="minorHAnsi" w:hAnsiTheme="minorHAnsi" w:cstheme="minorHAnsi"/>
          <w:color w:val="auto"/>
          <w:sz w:val="22"/>
          <w:szCs w:val="22"/>
          <w:u w:val="none"/>
          <w:lang w:val="en-CA"/>
        </w:rPr>
        <w:t>ISC was one of the organizations selected for the Audit of Employment Equity Representation in Recruitment</w:t>
      </w:r>
      <w:r w:rsidR="00E524A6" w:rsidRPr="008E75FC">
        <w:rPr>
          <w:rFonts w:asciiTheme="minorHAnsi" w:hAnsiTheme="minorHAnsi" w:cstheme="minorHAnsi"/>
          <w:kern w:val="36"/>
          <w:sz w:val="22"/>
          <w:szCs w:val="22"/>
          <w:lang w:val="en-CA"/>
        </w:rPr>
        <w:t>.</w:t>
      </w:r>
      <w:r w:rsidRPr="008E75FC">
        <w:rPr>
          <w:rFonts w:asciiTheme="minorHAnsi" w:hAnsiTheme="minorHAnsi" w:cstheme="minorHAnsi"/>
          <w:kern w:val="36"/>
          <w:sz w:val="22"/>
          <w:szCs w:val="22"/>
          <w:lang w:val="en-CA"/>
        </w:rPr>
        <w:t xml:space="preserve"> This audit is intended to determine whether</w:t>
      </w:r>
      <w:r w:rsidRPr="008E75FC">
        <w:rPr>
          <w:rFonts w:asciiTheme="minorHAnsi" w:hAnsiTheme="minorHAnsi" w:cstheme="minorHAnsi"/>
          <w:sz w:val="22"/>
          <w:szCs w:val="22"/>
          <w:lang w:val="en-CA" w:eastAsia="en-CA"/>
        </w:rPr>
        <w:t xml:space="preserve"> the four designated employment equity groups are proport</w:t>
      </w:r>
      <w:r w:rsidR="003C3B6E" w:rsidRPr="008E75FC">
        <w:rPr>
          <w:rFonts w:asciiTheme="minorHAnsi" w:hAnsiTheme="minorHAnsi" w:cstheme="minorHAnsi"/>
          <w:sz w:val="22"/>
          <w:szCs w:val="22"/>
          <w:lang w:val="en-CA" w:eastAsia="en-CA"/>
        </w:rPr>
        <w:t>ionately represented in</w:t>
      </w:r>
      <w:r w:rsidRPr="008E75FC">
        <w:rPr>
          <w:rFonts w:asciiTheme="minorHAnsi" w:hAnsiTheme="minorHAnsi" w:cstheme="minorHAnsi"/>
          <w:sz w:val="22"/>
          <w:szCs w:val="22"/>
          <w:lang w:val="en-CA" w:eastAsia="en-CA"/>
        </w:rPr>
        <w:t xml:space="preserve"> recruitment processes and to identify key factors that influence representation in the appointment system among the four designated employment equity groups. The results of this audit are set to be released at the beginning of 2021. </w:t>
      </w:r>
    </w:p>
    <w:p w14:paraId="293CB427" w14:textId="52C79DD3" w:rsidR="00AA03F8" w:rsidRPr="008E75FC" w:rsidRDefault="009F5000" w:rsidP="001A20D8">
      <w:pPr>
        <w:pStyle w:val="Heading2"/>
        <w:spacing w:after="120"/>
        <w:rPr>
          <w:u w:val="single"/>
          <w:lang w:val="en-CA"/>
        </w:rPr>
      </w:pPr>
      <w:r w:rsidRPr="008E75FC">
        <w:rPr>
          <w:lang w:val="en-CA"/>
        </w:rPr>
        <w:t>Investigations</w:t>
      </w:r>
    </w:p>
    <w:p w14:paraId="328C6A44" w14:textId="7BD28DFD" w:rsidR="00E524A6" w:rsidRPr="008E75FC" w:rsidRDefault="002C4809" w:rsidP="00276844">
      <w:pPr>
        <w:pStyle w:val="NoSpacing"/>
        <w:spacing w:after="120"/>
        <w:rPr>
          <w:rFonts w:asciiTheme="minorHAnsi" w:hAnsiTheme="minorHAnsi" w:cstheme="minorHAnsi"/>
          <w:color w:val="202124"/>
          <w:sz w:val="22"/>
          <w:szCs w:val="22"/>
          <w:lang w:val="en-CA"/>
        </w:rPr>
      </w:pPr>
      <w:r w:rsidRPr="008E75FC">
        <w:rPr>
          <w:rFonts w:asciiTheme="minorHAnsi" w:hAnsiTheme="minorHAnsi" w:cstheme="minorHAnsi"/>
          <w:color w:val="202124"/>
          <w:sz w:val="22"/>
          <w:szCs w:val="22"/>
          <w:lang w:val="en-CA"/>
        </w:rPr>
        <w:t xml:space="preserve">Since April 1, 2019, the PSC has received a total of </w:t>
      </w:r>
      <w:r w:rsidR="001B7B66" w:rsidRPr="008E75FC">
        <w:rPr>
          <w:rFonts w:asciiTheme="minorHAnsi" w:hAnsiTheme="minorHAnsi" w:cstheme="minorHAnsi"/>
          <w:color w:val="202124"/>
          <w:sz w:val="22"/>
          <w:szCs w:val="22"/>
          <w:lang w:val="en-CA"/>
        </w:rPr>
        <w:t>seven</w:t>
      </w:r>
      <w:r w:rsidRPr="008E75FC">
        <w:rPr>
          <w:rFonts w:asciiTheme="minorHAnsi" w:hAnsiTheme="minorHAnsi" w:cstheme="minorHAnsi"/>
          <w:color w:val="202124"/>
          <w:sz w:val="22"/>
          <w:szCs w:val="22"/>
          <w:lang w:val="en-CA"/>
        </w:rPr>
        <w:t xml:space="preserve"> cases for ISC, </w:t>
      </w:r>
      <w:r w:rsidR="001B7B66" w:rsidRPr="008E75FC">
        <w:rPr>
          <w:rFonts w:asciiTheme="minorHAnsi" w:hAnsiTheme="minorHAnsi" w:cstheme="minorHAnsi"/>
          <w:color w:val="202124"/>
          <w:sz w:val="22"/>
          <w:szCs w:val="22"/>
          <w:lang w:val="en-CA"/>
        </w:rPr>
        <w:t>four</w:t>
      </w:r>
      <w:r w:rsidRPr="008E75FC">
        <w:rPr>
          <w:rFonts w:asciiTheme="minorHAnsi" w:hAnsiTheme="minorHAnsi" w:cstheme="minorHAnsi"/>
          <w:color w:val="202124"/>
          <w:sz w:val="22"/>
          <w:szCs w:val="22"/>
          <w:lang w:val="en-CA"/>
        </w:rPr>
        <w:t xml:space="preserve"> of which are already closed or not accepted. The </w:t>
      </w:r>
      <w:r w:rsidR="001B7B66" w:rsidRPr="008E75FC">
        <w:rPr>
          <w:rFonts w:asciiTheme="minorHAnsi" w:hAnsiTheme="minorHAnsi" w:cstheme="minorHAnsi"/>
          <w:color w:val="202124"/>
          <w:sz w:val="22"/>
          <w:szCs w:val="22"/>
          <w:lang w:val="en-CA"/>
        </w:rPr>
        <w:t>three</w:t>
      </w:r>
      <w:r w:rsidRPr="008E75FC">
        <w:rPr>
          <w:rFonts w:asciiTheme="minorHAnsi" w:hAnsiTheme="minorHAnsi" w:cstheme="minorHAnsi"/>
          <w:color w:val="202124"/>
          <w:sz w:val="22"/>
          <w:szCs w:val="22"/>
          <w:lang w:val="en-CA"/>
        </w:rPr>
        <w:t xml:space="preserve"> investigations currently under</w:t>
      </w:r>
      <w:r w:rsidR="001B7B66" w:rsidRPr="008E75FC">
        <w:rPr>
          <w:rFonts w:asciiTheme="minorHAnsi" w:hAnsiTheme="minorHAnsi" w:cstheme="minorHAnsi"/>
          <w:color w:val="202124"/>
          <w:sz w:val="22"/>
          <w:szCs w:val="22"/>
          <w:lang w:val="en-CA"/>
        </w:rPr>
        <w:t xml:space="preserve"> </w:t>
      </w:r>
      <w:r w:rsidRPr="008E75FC">
        <w:rPr>
          <w:rFonts w:asciiTheme="minorHAnsi" w:hAnsiTheme="minorHAnsi" w:cstheme="minorHAnsi"/>
          <w:color w:val="202124"/>
          <w:sz w:val="22"/>
          <w:szCs w:val="22"/>
          <w:lang w:val="en-CA"/>
        </w:rPr>
        <w:t>way are related to fraud.</w:t>
      </w:r>
    </w:p>
    <w:p w14:paraId="6AD7851B" w14:textId="12ED3BB9" w:rsidR="005A01D5" w:rsidRPr="008E75FC" w:rsidRDefault="005A01D5" w:rsidP="005A01D5">
      <w:pPr>
        <w:pStyle w:val="Caption"/>
        <w:keepNext/>
        <w:spacing w:after="0"/>
        <w:rPr>
          <w:rFonts w:asciiTheme="minorHAnsi" w:hAnsiTheme="minorHAnsi" w:cstheme="minorHAnsi"/>
          <w:i w:val="0"/>
          <w:color w:val="auto"/>
          <w:lang w:val="en-CA"/>
        </w:rPr>
      </w:pPr>
      <w:r w:rsidRPr="008E75FC">
        <w:rPr>
          <w:rFonts w:asciiTheme="minorHAnsi" w:hAnsiTheme="minorHAnsi" w:cstheme="minorHAnsi"/>
          <w:i w:val="0"/>
          <w:color w:val="auto"/>
          <w:lang w:val="en-CA"/>
        </w:rPr>
        <w:t xml:space="preserve">Table </w:t>
      </w:r>
      <w:r w:rsidRPr="008E75FC">
        <w:rPr>
          <w:rFonts w:asciiTheme="minorHAnsi" w:hAnsiTheme="minorHAnsi" w:cstheme="minorHAnsi"/>
          <w:i w:val="0"/>
          <w:color w:val="auto"/>
          <w:lang w:val="en-CA"/>
        </w:rPr>
        <w:fldChar w:fldCharType="begin"/>
      </w:r>
      <w:r w:rsidRPr="008E75FC">
        <w:rPr>
          <w:rFonts w:asciiTheme="minorHAnsi" w:hAnsiTheme="minorHAnsi" w:cstheme="minorHAnsi"/>
          <w:i w:val="0"/>
          <w:color w:val="auto"/>
          <w:lang w:val="en-CA"/>
        </w:rPr>
        <w:instrText xml:space="preserve"> SEQ Table \* ARABIC </w:instrText>
      </w:r>
      <w:r w:rsidRPr="008E75FC">
        <w:rPr>
          <w:rFonts w:asciiTheme="minorHAnsi" w:hAnsiTheme="minorHAnsi" w:cstheme="minorHAnsi"/>
          <w:i w:val="0"/>
          <w:color w:val="auto"/>
          <w:lang w:val="en-CA"/>
        </w:rPr>
        <w:fldChar w:fldCharType="separate"/>
      </w:r>
      <w:r w:rsidR="006632C2" w:rsidRPr="008E75FC">
        <w:rPr>
          <w:rFonts w:asciiTheme="minorHAnsi" w:hAnsiTheme="minorHAnsi" w:cstheme="minorHAnsi"/>
          <w:i w:val="0"/>
          <w:noProof/>
          <w:color w:val="auto"/>
          <w:lang w:val="en-CA"/>
        </w:rPr>
        <w:t>1</w:t>
      </w:r>
      <w:r w:rsidRPr="008E75FC">
        <w:rPr>
          <w:rFonts w:asciiTheme="minorHAnsi" w:hAnsiTheme="minorHAnsi" w:cstheme="minorHAnsi"/>
          <w:i w:val="0"/>
          <w:color w:val="auto"/>
          <w:lang w:val="en-CA"/>
        </w:rPr>
        <w:fldChar w:fldCharType="end"/>
      </w:r>
      <w:r w:rsidRPr="008E75FC">
        <w:rPr>
          <w:rFonts w:asciiTheme="minorHAnsi" w:hAnsiTheme="minorHAnsi" w:cstheme="minorHAnsi"/>
          <w:i w:val="0"/>
          <w:color w:val="auto"/>
          <w:lang w:val="en-CA"/>
        </w:rPr>
        <w:t xml:space="preserve"> - Investigations</w:t>
      </w:r>
    </w:p>
    <w:tbl>
      <w:tblPr>
        <w:tblStyle w:val="Grilledutableau1"/>
        <w:tblW w:w="5000" w:type="pct"/>
        <w:jc w:val="center"/>
        <w:tblLook w:val="04A0" w:firstRow="1" w:lastRow="0" w:firstColumn="1" w:lastColumn="0" w:noHBand="0" w:noVBand="1"/>
        <w:tblDescription w:val="Investigations"/>
      </w:tblPr>
      <w:tblGrid>
        <w:gridCol w:w="2336"/>
        <w:gridCol w:w="1110"/>
        <w:gridCol w:w="1623"/>
        <w:gridCol w:w="1229"/>
        <w:gridCol w:w="1363"/>
        <w:gridCol w:w="1315"/>
        <w:gridCol w:w="1094"/>
      </w:tblGrid>
      <w:tr w:rsidR="005A01D5" w:rsidRPr="008E75FC" w14:paraId="3857B83D" w14:textId="77777777" w:rsidTr="000032BC">
        <w:trPr>
          <w:cantSplit/>
          <w:tblHeader/>
          <w:jc w:val="center"/>
        </w:trPr>
        <w:tc>
          <w:tcPr>
            <w:tcW w:w="1160" w:type="pct"/>
            <w:shd w:val="clear" w:color="auto" w:fill="54575A" w:themeFill="text1"/>
          </w:tcPr>
          <w:p w14:paraId="743FB9D7" w14:textId="77777777" w:rsidR="005A01D5" w:rsidRPr="008E75FC" w:rsidRDefault="005A01D5" w:rsidP="00775CE4">
            <w:pPr>
              <w:pStyle w:val="TableTitle"/>
              <w:rPr>
                <w:rFonts w:cs="Segoe UI Semibold"/>
                <w:color w:val="FFFFFF" w:themeColor="background1"/>
                <w:sz w:val="22"/>
                <w:szCs w:val="22"/>
                <w:lang w:val="en-CA" w:eastAsia="en-CA"/>
              </w:rPr>
            </w:pPr>
            <w:r w:rsidRPr="008E75FC">
              <w:rPr>
                <w:rFonts w:cs="Segoe UI Semibold"/>
                <w:color w:val="FFFFFF" w:themeColor="background1"/>
                <w:sz w:val="22"/>
                <w:szCs w:val="22"/>
                <w:lang w:val="en-CA" w:eastAsia="en-CA"/>
              </w:rPr>
              <w:t>Nature of Issue</w:t>
            </w:r>
          </w:p>
        </w:tc>
        <w:tc>
          <w:tcPr>
            <w:tcW w:w="551" w:type="pct"/>
            <w:shd w:val="clear" w:color="auto" w:fill="54575A" w:themeFill="text1"/>
          </w:tcPr>
          <w:p w14:paraId="4BC97540" w14:textId="77777777" w:rsidR="005A01D5" w:rsidRPr="008E75FC" w:rsidRDefault="005A01D5" w:rsidP="00775CE4">
            <w:pPr>
              <w:pStyle w:val="TableTitle"/>
              <w:jc w:val="center"/>
              <w:rPr>
                <w:rFonts w:cs="Segoe UI Semibold"/>
                <w:color w:val="FFFFFF" w:themeColor="background1"/>
                <w:sz w:val="22"/>
                <w:szCs w:val="22"/>
                <w:lang w:val="en-CA" w:eastAsia="en-CA"/>
              </w:rPr>
            </w:pPr>
            <w:r w:rsidRPr="008E75FC">
              <w:rPr>
                <w:rFonts w:cs="Segoe UI Semibold"/>
                <w:color w:val="FFFFFF" w:themeColor="background1"/>
                <w:sz w:val="22"/>
                <w:szCs w:val="22"/>
                <w:lang w:val="en-CA" w:eastAsia="en-CA"/>
              </w:rPr>
              <w:t>Cases Received</w:t>
            </w:r>
          </w:p>
        </w:tc>
        <w:tc>
          <w:tcPr>
            <w:tcW w:w="806" w:type="pct"/>
            <w:shd w:val="clear" w:color="auto" w:fill="54575A" w:themeFill="text1"/>
          </w:tcPr>
          <w:p w14:paraId="0AA3F3BE" w14:textId="77777777" w:rsidR="005A01D5" w:rsidRPr="008E75FC" w:rsidRDefault="005A01D5" w:rsidP="00775CE4">
            <w:pPr>
              <w:pStyle w:val="TableTitle"/>
              <w:jc w:val="center"/>
              <w:rPr>
                <w:rFonts w:cs="Segoe UI Semibold"/>
                <w:color w:val="FFFFFF" w:themeColor="background1"/>
                <w:sz w:val="22"/>
                <w:szCs w:val="22"/>
                <w:lang w:val="en-CA" w:eastAsia="en-CA"/>
              </w:rPr>
            </w:pPr>
            <w:r w:rsidRPr="008E75FC">
              <w:rPr>
                <w:rFonts w:cs="Segoe UI Semibold"/>
                <w:color w:val="FFFFFF" w:themeColor="background1"/>
                <w:sz w:val="22"/>
                <w:szCs w:val="22"/>
                <w:lang w:val="en-CA" w:eastAsia="en-CA"/>
              </w:rPr>
              <w:t>Cases Referred by Organization</w:t>
            </w:r>
          </w:p>
        </w:tc>
        <w:tc>
          <w:tcPr>
            <w:tcW w:w="610" w:type="pct"/>
            <w:shd w:val="clear" w:color="auto" w:fill="54575A" w:themeFill="text1"/>
          </w:tcPr>
          <w:p w14:paraId="4ECA6B2E" w14:textId="77777777" w:rsidR="005A01D5" w:rsidRPr="008E75FC" w:rsidRDefault="005A01D5" w:rsidP="00775CE4">
            <w:pPr>
              <w:pStyle w:val="TableTitle"/>
              <w:jc w:val="center"/>
              <w:rPr>
                <w:rFonts w:cs="Segoe UI Semibold"/>
                <w:color w:val="FFFFFF" w:themeColor="background1"/>
                <w:sz w:val="22"/>
                <w:szCs w:val="22"/>
                <w:lang w:val="en-CA" w:eastAsia="en-CA"/>
              </w:rPr>
            </w:pPr>
            <w:r w:rsidRPr="008E75FC">
              <w:rPr>
                <w:rFonts w:cs="Segoe UI Semibold"/>
                <w:color w:val="FFFFFF" w:themeColor="background1"/>
                <w:sz w:val="22"/>
                <w:szCs w:val="22"/>
                <w:lang w:val="en-CA" w:eastAsia="en-CA"/>
              </w:rPr>
              <w:t>Closed – Not Accepted</w:t>
            </w:r>
          </w:p>
        </w:tc>
        <w:tc>
          <w:tcPr>
            <w:tcW w:w="677" w:type="pct"/>
            <w:shd w:val="clear" w:color="auto" w:fill="54575A" w:themeFill="text1"/>
          </w:tcPr>
          <w:p w14:paraId="467EB587" w14:textId="77777777" w:rsidR="005A01D5" w:rsidRPr="008E75FC" w:rsidRDefault="005A01D5" w:rsidP="00775CE4">
            <w:pPr>
              <w:pStyle w:val="TableTitle"/>
              <w:jc w:val="center"/>
              <w:rPr>
                <w:rFonts w:cs="Segoe UI Semibold"/>
                <w:color w:val="FFFFFF" w:themeColor="background1"/>
                <w:sz w:val="22"/>
                <w:szCs w:val="22"/>
                <w:lang w:val="en-CA" w:eastAsia="en-CA"/>
              </w:rPr>
            </w:pPr>
            <w:r w:rsidRPr="008E75FC">
              <w:rPr>
                <w:rFonts w:cs="Segoe UI Semibold"/>
                <w:color w:val="FFFFFF" w:themeColor="background1"/>
                <w:sz w:val="22"/>
                <w:szCs w:val="22"/>
                <w:lang w:val="en-CA" w:eastAsia="en-CA"/>
              </w:rPr>
              <w:t>Completed Unfounded</w:t>
            </w:r>
          </w:p>
        </w:tc>
        <w:tc>
          <w:tcPr>
            <w:tcW w:w="653" w:type="pct"/>
            <w:shd w:val="clear" w:color="auto" w:fill="54575A" w:themeFill="text1"/>
          </w:tcPr>
          <w:p w14:paraId="0606D284" w14:textId="77777777" w:rsidR="005A01D5" w:rsidRPr="008E75FC" w:rsidRDefault="005A01D5" w:rsidP="00775CE4">
            <w:pPr>
              <w:pStyle w:val="TableTitle"/>
              <w:jc w:val="center"/>
              <w:rPr>
                <w:rFonts w:cs="Segoe UI Semibold"/>
                <w:color w:val="FFFFFF" w:themeColor="background1"/>
                <w:sz w:val="22"/>
                <w:szCs w:val="22"/>
                <w:lang w:val="en-CA" w:eastAsia="en-CA"/>
              </w:rPr>
            </w:pPr>
            <w:r w:rsidRPr="008E75FC">
              <w:rPr>
                <w:rFonts w:cs="Segoe UI Semibold"/>
                <w:color w:val="FFFFFF" w:themeColor="background1"/>
                <w:sz w:val="22"/>
                <w:szCs w:val="22"/>
                <w:lang w:val="en-CA" w:eastAsia="en-CA"/>
              </w:rPr>
              <w:t>Completed Founded</w:t>
            </w:r>
          </w:p>
        </w:tc>
        <w:tc>
          <w:tcPr>
            <w:tcW w:w="543" w:type="pct"/>
            <w:shd w:val="clear" w:color="auto" w:fill="54575A" w:themeFill="text1"/>
          </w:tcPr>
          <w:p w14:paraId="4EC6B698" w14:textId="77777777" w:rsidR="005A01D5" w:rsidRPr="008E75FC" w:rsidRDefault="005A01D5" w:rsidP="00775CE4">
            <w:pPr>
              <w:pStyle w:val="TableTitle"/>
              <w:jc w:val="center"/>
              <w:rPr>
                <w:rFonts w:cs="Segoe UI Semibold"/>
                <w:color w:val="FFFFFF" w:themeColor="background1"/>
                <w:sz w:val="22"/>
                <w:szCs w:val="22"/>
                <w:lang w:val="en-CA" w:eastAsia="en-CA"/>
              </w:rPr>
            </w:pPr>
            <w:r w:rsidRPr="008E75FC">
              <w:rPr>
                <w:rFonts w:cs="Segoe UI Semibold"/>
                <w:color w:val="FFFFFF" w:themeColor="background1"/>
                <w:sz w:val="22"/>
                <w:szCs w:val="22"/>
                <w:lang w:val="en-CA" w:eastAsia="en-CA"/>
              </w:rPr>
              <w:t>Ongoing</w:t>
            </w:r>
          </w:p>
        </w:tc>
      </w:tr>
      <w:tr w:rsidR="005A01D5" w:rsidRPr="008E75FC" w14:paraId="048D0CD5" w14:textId="77777777" w:rsidTr="000032BC">
        <w:trPr>
          <w:cantSplit/>
          <w:tblHeader/>
          <w:jc w:val="center"/>
        </w:trPr>
        <w:tc>
          <w:tcPr>
            <w:tcW w:w="1160" w:type="pct"/>
            <w:shd w:val="clear" w:color="auto" w:fill="54575A" w:themeFill="text1"/>
          </w:tcPr>
          <w:p w14:paraId="1843DFE4" w14:textId="77777777" w:rsidR="005A01D5" w:rsidRPr="008E75FC" w:rsidRDefault="005A01D5" w:rsidP="00775CE4">
            <w:pPr>
              <w:pStyle w:val="TableTitle"/>
              <w:rPr>
                <w:rFonts w:asciiTheme="minorHAnsi" w:hAnsiTheme="minorHAnsi" w:cstheme="minorHAnsi"/>
                <w:color w:val="FFFFFF" w:themeColor="background1"/>
                <w:sz w:val="22"/>
                <w:szCs w:val="22"/>
                <w:lang w:val="en-CA" w:eastAsia="en-CA"/>
              </w:rPr>
            </w:pPr>
            <w:r w:rsidRPr="008E75FC">
              <w:rPr>
                <w:rFonts w:asciiTheme="minorHAnsi" w:hAnsiTheme="minorHAnsi" w:cstheme="minorHAnsi"/>
                <w:color w:val="FFFFFF" w:themeColor="background1"/>
                <w:sz w:val="22"/>
                <w:szCs w:val="22"/>
                <w:lang w:val="en-CA" w:eastAsia="en-CA"/>
              </w:rPr>
              <w:t>s.66 External Appointments (Merit, Error, Omission, Improper Conduct</w:t>
            </w:r>
          </w:p>
        </w:tc>
        <w:tc>
          <w:tcPr>
            <w:tcW w:w="551" w:type="pct"/>
          </w:tcPr>
          <w:p w14:paraId="7EF0FE99" w14:textId="4CE6216C" w:rsidR="005A01D5" w:rsidRPr="008E75FC" w:rsidRDefault="005A01D5" w:rsidP="00775CE4">
            <w:pPr>
              <w:pStyle w:val="TableTitle"/>
              <w:jc w:val="center"/>
              <w:rPr>
                <w:rFonts w:asciiTheme="minorHAnsi" w:hAnsiTheme="minorHAnsi" w:cstheme="minorHAnsi"/>
                <w:color w:val="auto"/>
                <w:sz w:val="22"/>
                <w:szCs w:val="22"/>
                <w:lang w:val="en-CA" w:eastAsia="en-CA"/>
              </w:rPr>
            </w:pPr>
            <w:r w:rsidRPr="008E75FC">
              <w:rPr>
                <w:rFonts w:asciiTheme="minorHAnsi" w:hAnsiTheme="minorHAnsi" w:cstheme="minorHAnsi"/>
                <w:color w:val="auto"/>
                <w:sz w:val="22"/>
                <w:szCs w:val="22"/>
                <w:lang w:val="en-CA" w:eastAsia="en-CA"/>
              </w:rPr>
              <w:t>4</w:t>
            </w:r>
          </w:p>
        </w:tc>
        <w:tc>
          <w:tcPr>
            <w:tcW w:w="806" w:type="pct"/>
          </w:tcPr>
          <w:p w14:paraId="7E642C70" w14:textId="67E4F60A" w:rsidR="005A01D5" w:rsidRPr="008E75FC" w:rsidRDefault="005A01D5" w:rsidP="00775CE4">
            <w:pPr>
              <w:pStyle w:val="TableTitle"/>
              <w:jc w:val="center"/>
              <w:rPr>
                <w:rFonts w:asciiTheme="minorHAnsi" w:hAnsiTheme="minorHAnsi" w:cstheme="minorHAnsi"/>
                <w:color w:val="auto"/>
                <w:sz w:val="22"/>
                <w:szCs w:val="22"/>
                <w:lang w:val="en-CA" w:eastAsia="en-CA"/>
              </w:rPr>
            </w:pPr>
            <w:r w:rsidRPr="008E75FC">
              <w:rPr>
                <w:rFonts w:asciiTheme="minorHAnsi" w:hAnsiTheme="minorHAnsi" w:cstheme="minorHAnsi"/>
                <w:color w:val="auto"/>
                <w:sz w:val="22"/>
                <w:szCs w:val="22"/>
                <w:lang w:val="en-CA" w:eastAsia="en-CA"/>
              </w:rPr>
              <w:t>0</w:t>
            </w:r>
          </w:p>
        </w:tc>
        <w:tc>
          <w:tcPr>
            <w:tcW w:w="610" w:type="pct"/>
          </w:tcPr>
          <w:p w14:paraId="6409C470" w14:textId="5EA8353C" w:rsidR="005A01D5" w:rsidRPr="008E75FC" w:rsidRDefault="005A01D5" w:rsidP="00775CE4">
            <w:pPr>
              <w:pStyle w:val="TableTitle"/>
              <w:jc w:val="center"/>
              <w:rPr>
                <w:rFonts w:asciiTheme="minorHAnsi" w:hAnsiTheme="minorHAnsi" w:cstheme="minorHAnsi"/>
                <w:color w:val="auto"/>
                <w:sz w:val="22"/>
                <w:szCs w:val="22"/>
                <w:lang w:val="en-CA" w:eastAsia="en-CA"/>
              </w:rPr>
            </w:pPr>
            <w:r w:rsidRPr="008E75FC">
              <w:rPr>
                <w:rFonts w:asciiTheme="minorHAnsi" w:hAnsiTheme="minorHAnsi" w:cstheme="minorHAnsi"/>
                <w:color w:val="auto"/>
                <w:sz w:val="22"/>
                <w:szCs w:val="22"/>
                <w:lang w:val="en-CA" w:eastAsia="en-CA"/>
              </w:rPr>
              <w:t>4</w:t>
            </w:r>
          </w:p>
        </w:tc>
        <w:tc>
          <w:tcPr>
            <w:tcW w:w="677" w:type="pct"/>
          </w:tcPr>
          <w:p w14:paraId="65C1F159" w14:textId="77777777" w:rsidR="005A01D5" w:rsidRPr="008E75FC" w:rsidRDefault="005A01D5" w:rsidP="00775CE4">
            <w:pPr>
              <w:pStyle w:val="TableTitle"/>
              <w:jc w:val="center"/>
              <w:rPr>
                <w:rFonts w:asciiTheme="minorHAnsi" w:hAnsiTheme="minorHAnsi" w:cstheme="minorHAnsi"/>
                <w:color w:val="auto"/>
                <w:sz w:val="22"/>
                <w:szCs w:val="22"/>
                <w:lang w:val="en-CA" w:eastAsia="en-CA"/>
              </w:rPr>
            </w:pPr>
            <w:r w:rsidRPr="008E75FC">
              <w:rPr>
                <w:rFonts w:asciiTheme="minorHAnsi" w:hAnsiTheme="minorHAnsi" w:cstheme="minorHAnsi"/>
                <w:color w:val="auto"/>
                <w:sz w:val="22"/>
                <w:szCs w:val="22"/>
                <w:lang w:val="en-CA" w:eastAsia="en-CA"/>
              </w:rPr>
              <w:t>0</w:t>
            </w:r>
          </w:p>
        </w:tc>
        <w:tc>
          <w:tcPr>
            <w:tcW w:w="653" w:type="pct"/>
          </w:tcPr>
          <w:p w14:paraId="5C54DC6A" w14:textId="77777777" w:rsidR="005A01D5" w:rsidRPr="008E75FC" w:rsidRDefault="005A01D5" w:rsidP="00775CE4">
            <w:pPr>
              <w:pStyle w:val="TableTitle"/>
              <w:jc w:val="center"/>
              <w:rPr>
                <w:rFonts w:asciiTheme="minorHAnsi" w:hAnsiTheme="minorHAnsi" w:cstheme="minorHAnsi"/>
                <w:color w:val="auto"/>
                <w:sz w:val="22"/>
                <w:szCs w:val="22"/>
                <w:lang w:val="en-CA" w:eastAsia="en-CA"/>
              </w:rPr>
            </w:pPr>
            <w:r w:rsidRPr="008E75FC">
              <w:rPr>
                <w:rFonts w:asciiTheme="minorHAnsi" w:hAnsiTheme="minorHAnsi" w:cstheme="minorHAnsi"/>
                <w:color w:val="auto"/>
                <w:sz w:val="22"/>
                <w:szCs w:val="22"/>
                <w:lang w:val="en-CA" w:eastAsia="en-CA"/>
              </w:rPr>
              <w:t>0</w:t>
            </w:r>
          </w:p>
        </w:tc>
        <w:tc>
          <w:tcPr>
            <w:tcW w:w="543" w:type="pct"/>
          </w:tcPr>
          <w:p w14:paraId="3E98BCBA" w14:textId="77777777" w:rsidR="005A01D5" w:rsidRPr="008E75FC" w:rsidRDefault="005A01D5" w:rsidP="00775CE4">
            <w:pPr>
              <w:pStyle w:val="TableTitle"/>
              <w:jc w:val="center"/>
              <w:rPr>
                <w:rFonts w:asciiTheme="minorHAnsi" w:hAnsiTheme="minorHAnsi" w:cstheme="minorHAnsi"/>
                <w:color w:val="auto"/>
                <w:sz w:val="22"/>
                <w:szCs w:val="22"/>
                <w:lang w:val="en-CA" w:eastAsia="en-CA"/>
              </w:rPr>
            </w:pPr>
            <w:r w:rsidRPr="008E75FC">
              <w:rPr>
                <w:rFonts w:asciiTheme="minorHAnsi" w:hAnsiTheme="minorHAnsi" w:cstheme="minorHAnsi"/>
                <w:color w:val="auto"/>
                <w:sz w:val="22"/>
                <w:szCs w:val="22"/>
                <w:lang w:val="en-CA" w:eastAsia="en-CA"/>
              </w:rPr>
              <w:t>0</w:t>
            </w:r>
          </w:p>
        </w:tc>
      </w:tr>
      <w:tr w:rsidR="005A01D5" w:rsidRPr="008E75FC" w14:paraId="00278AA6" w14:textId="77777777" w:rsidTr="000032BC">
        <w:trPr>
          <w:cantSplit/>
          <w:tblHeader/>
          <w:jc w:val="center"/>
        </w:trPr>
        <w:tc>
          <w:tcPr>
            <w:tcW w:w="1160" w:type="pct"/>
            <w:shd w:val="clear" w:color="auto" w:fill="54575A" w:themeFill="text1"/>
          </w:tcPr>
          <w:p w14:paraId="2EA6F38B" w14:textId="77777777" w:rsidR="005A01D5" w:rsidRPr="008E75FC" w:rsidRDefault="005A01D5" w:rsidP="00775CE4">
            <w:pPr>
              <w:pStyle w:val="TableTitle"/>
              <w:rPr>
                <w:rFonts w:asciiTheme="minorHAnsi" w:hAnsiTheme="minorHAnsi" w:cstheme="minorHAnsi"/>
                <w:color w:val="FFFFFF" w:themeColor="background1"/>
                <w:sz w:val="22"/>
                <w:szCs w:val="22"/>
                <w:lang w:val="en-CA" w:eastAsia="en-CA"/>
              </w:rPr>
            </w:pPr>
            <w:r w:rsidRPr="008E75FC">
              <w:rPr>
                <w:rFonts w:asciiTheme="minorHAnsi" w:hAnsiTheme="minorHAnsi" w:cstheme="minorHAnsi"/>
                <w:color w:val="FFFFFF" w:themeColor="background1"/>
                <w:sz w:val="22"/>
                <w:szCs w:val="22"/>
                <w:lang w:val="en-CA" w:eastAsia="en-CA"/>
              </w:rPr>
              <w:t>s.69 Fraud</w:t>
            </w:r>
          </w:p>
        </w:tc>
        <w:tc>
          <w:tcPr>
            <w:tcW w:w="551" w:type="pct"/>
          </w:tcPr>
          <w:p w14:paraId="55D9EC1E" w14:textId="120EBBBF" w:rsidR="005A01D5" w:rsidRPr="008E75FC" w:rsidRDefault="005A01D5" w:rsidP="00775CE4">
            <w:pPr>
              <w:pStyle w:val="TableTitle"/>
              <w:jc w:val="center"/>
              <w:rPr>
                <w:rFonts w:asciiTheme="minorHAnsi" w:hAnsiTheme="minorHAnsi" w:cstheme="minorHAnsi"/>
                <w:color w:val="auto"/>
                <w:sz w:val="22"/>
                <w:szCs w:val="22"/>
                <w:lang w:val="en-CA" w:eastAsia="en-CA"/>
              </w:rPr>
            </w:pPr>
            <w:r w:rsidRPr="008E75FC">
              <w:rPr>
                <w:rFonts w:asciiTheme="minorHAnsi" w:hAnsiTheme="minorHAnsi" w:cstheme="minorHAnsi"/>
                <w:color w:val="auto"/>
                <w:sz w:val="22"/>
                <w:szCs w:val="22"/>
                <w:lang w:val="en-CA" w:eastAsia="en-CA"/>
              </w:rPr>
              <w:t>3</w:t>
            </w:r>
          </w:p>
        </w:tc>
        <w:tc>
          <w:tcPr>
            <w:tcW w:w="806" w:type="pct"/>
          </w:tcPr>
          <w:p w14:paraId="244425D3" w14:textId="7C8DFCAF" w:rsidR="005A01D5" w:rsidRPr="008E75FC" w:rsidRDefault="005A01D5" w:rsidP="00775CE4">
            <w:pPr>
              <w:pStyle w:val="TableTitle"/>
              <w:jc w:val="center"/>
              <w:rPr>
                <w:rFonts w:asciiTheme="minorHAnsi" w:hAnsiTheme="minorHAnsi" w:cstheme="minorHAnsi"/>
                <w:color w:val="auto"/>
                <w:sz w:val="22"/>
                <w:szCs w:val="22"/>
                <w:lang w:val="en-CA" w:eastAsia="en-CA"/>
              </w:rPr>
            </w:pPr>
            <w:r w:rsidRPr="008E75FC">
              <w:rPr>
                <w:rFonts w:asciiTheme="minorHAnsi" w:hAnsiTheme="minorHAnsi" w:cstheme="minorHAnsi"/>
                <w:color w:val="auto"/>
                <w:sz w:val="22"/>
                <w:szCs w:val="22"/>
                <w:lang w:val="en-CA" w:eastAsia="en-CA"/>
              </w:rPr>
              <w:t>3</w:t>
            </w:r>
          </w:p>
        </w:tc>
        <w:tc>
          <w:tcPr>
            <w:tcW w:w="610" w:type="pct"/>
          </w:tcPr>
          <w:p w14:paraId="656BCAD8" w14:textId="73A6B6D1" w:rsidR="005A01D5" w:rsidRPr="008E75FC" w:rsidRDefault="005A01D5" w:rsidP="00775CE4">
            <w:pPr>
              <w:pStyle w:val="TableTitle"/>
              <w:jc w:val="center"/>
              <w:rPr>
                <w:rFonts w:asciiTheme="minorHAnsi" w:hAnsiTheme="minorHAnsi" w:cstheme="minorHAnsi"/>
                <w:color w:val="auto"/>
                <w:sz w:val="22"/>
                <w:szCs w:val="22"/>
                <w:lang w:val="en-CA" w:eastAsia="en-CA"/>
              </w:rPr>
            </w:pPr>
            <w:r w:rsidRPr="008E75FC">
              <w:rPr>
                <w:rFonts w:asciiTheme="minorHAnsi" w:hAnsiTheme="minorHAnsi" w:cstheme="minorHAnsi"/>
                <w:color w:val="auto"/>
                <w:sz w:val="22"/>
                <w:szCs w:val="22"/>
                <w:lang w:val="en-CA" w:eastAsia="en-CA"/>
              </w:rPr>
              <w:t>0</w:t>
            </w:r>
          </w:p>
        </w:tc>
        <w:tc>
          <w:tcPr>
            <w:tcW w:w="677" w:type="pct"/>
          </w:tcPr>
          <w:p w14:paraId="7351AD56" w14:textId="3CE3E83F" w:rsidR="005A01D5" w:rsidRPr="008E75FC" w:rsidRDefault="005A01D5" w:rsidP="00775CE4">
            <w:pPr>
              <w:pStyle w:val="TableTitle"/>
              <w:jc w:val="center"/>
              <w:rPr>
                <w:rFonts w:asciiTheme="minorHAnsi" w:hAnsiTheme="minorHAnsi" w:cstheme="minorHAnsi"/>
                <w:color w:val="auto"/>
                <w:sz w:val="22"/>
                <w:szCs w:val="22"/>
                <w:lang w:val="en-CA" w:eastAsia="en-CA"/>
              </w:rPr>
            </w:pPr>
            <w:r w:rsidRPr="008E75FC">
              <w:rPr>
                <w:rFonts w:asciiTheme="minorHAnsi" w:hAnsiTheme="minorHAnsi" w:cstheme="minorHAnsi"/>
                <w:color w:val="auto"/>
                <w:sz w:val="22"/>
                <w:szCs w:val="22"/>
                <w:lang w:val="en-CA" w:eastAsia="en-CA"/>
              </w:rPr>
              <w:t>0</w:t>
            </w:r>
          </w:p>
        </w:tc>
        <w:tc>
          <w:tcPr>
            <w:tcW w:w="653" w:type="pct"/>
          </w:tcPr>
          <w:p w14:paraId="1F73B986" w14:textId="1193F9C6" w:rsidR="005A01D5" w:rsidRPr="008E75FC" w:rsidRDefault="005A01D5" w:rsidP="00775CE4">
            <w:pPr>
              <w:pStyle w:val="TableTitle"/>
              <w:jc w:val="center"/>
              <w:rPr>
                <w:rFonts w:asciiTheme="minorHAnsi" w:hAnsiTheme="minorHAnsi" w:cstheme="minorHAnsi"/>
                <w:color w:val="auto"/>
                <w:sz w:val="22"/>
                <w:szCs w:val="22"/>
                <w:lang w:val="en-CA" w:eastAsia="en-CA"/>
              </w:rPr>
            </w:pPr>
            <w:r w:rsidRPr="008E75FC">
              <w:rPr>
                <w:rFonts w:asciiTheme="minorHAnsi" w:hAnsiTheme="minorHAnsi" w:cstheme="minorHAnsi"/>
                <w:color w:val="auto"/>
                <w:sz w:val="22"/>
                <w:szCs w:val="22"/>
                <w:lang w:val="en-CA" w:eastAsia="en-CA"/>
              </w:rPr>
              <w:t>0</w:t>
            </w:r>
          </w:p>
        </w:tc>
        <w:tc>
          <w:tcPr>
            <w:tcW w:w="543" w:type="pct"/>
          </w:tcPr>
          <w:p w14:paraId="35A11821" w14:textId="572FE638" w:rsidR="005A01D5" w:rsidRPr="008E75FC" w:rsidRDefault="005A01D5" w:rsidP="00775CE4">
            <w:pPr>
              <w:pStyle w:val="TableTitle"/>
              <w:jc w:val="center"/>
              <w:rPr>
                <w:rFonts w:asciiTheme="minorHAnsi" w:hAnsiTheme="minorHAnsi" w:cstheme="minorHAnsi"/>
                <w:color w:val="auto"/>
                <w:sz w:val="22"/>
                <w:szCs w:val="22"/>
                <w:lang w:val="en-CA" w:eastAsia="en-CA"/>
              </w:rPr>
            </w:pPr>
            <w:r w:rsidRPr="008E75FC">
              <w:rPr>
                <w:rFonts w:asciiTheme="minorHAnsi" w:hAnsiTheme="minorHAnsi" w:cstheme="minorHAnsi"/>
                <w:color w:val="auto"/>
                <w:sz w:val="22"/>
                <w:szCs w:val="22"/>
                <w:lang w:val="en-CA" w:eastAsia="en-CA"/>
              </w:rPr>
              <w:t>3</w:t>
            </w:r>
          </w:p>
        </w:tc>
      </w:tr>
      <w:tr w:rsidR="005A01D5" w:rsidRPr="008E75FC" w14:paraId="647EE801" w14:textId="77777777" w:rsidTr="000032BC">
        <w:trPr>
          <w:cantSplit/>
          <w:tblHeader/>
          <w:jc w:val="center"/>
        </w:trPr>
        <w:tc>
          <w:tcPr>
            <w:tcW w:w="1160" w:type="pct"/>
            <w:shd w:val="clear" w:color="auto" w:fill="54575A" w:themeFill="text1"/>
          </w:tcPr>
          <w:p w14:paraId="4638FD9C" w14:textId="77777777" w:rsidR="005A01D5" w:rsidRPr="008E75FC" w:rsidRDefault="005A01D5" w:rsidP="00775CE4">
            <w:pPr>
              <w:pStyle w:val="TableTitle"/>
              <w:rPr>
                <w:rFonts w:asciiTheme="minorHAnsi" w:hAnsiTheme="minorHAnsi" w:cstheme="minorHAnsi"/>
                <w:color w:val="FFFFFF" w:themeColor="background1"/>
                <w:sz w:val="22"/>
                <w:szCs w:val="22"/>
                <w:lang w:val="en-CA" w:eastAsia="en-CA"/>
              </w:rPr>
            </w:pPr>
            <w:r w:rsidRPr="008E75FC">
              <w:rPr>
                <w:rFonts w:asciiTheme="minorHAnsi" w:hAnsiTheme="minorHAnsi" w:cstheme="minorHAnsi"/>
                <w:color w:val="FFFFFF" w:themeColor="background1"/>
                <w:sz w:val="22"/>
                <w:szCs w:val="22"/>
                <w:lang w:val="en-CA" w:eastAsia="en-CA"/>
              </w:rPr>
              <w:t>Total</w:t>
            </w:r>
          </w:p>
        </w:tc>
        <w:tc>
          <w:tcPr>
            <w:tcW w:w="551" w:type="pct"/>
          </w:tcPr>
          <w:p w14:paraId="13661F9E" w14:textId="2C6A1F10" w:rsidR="005A01D5" w:rsidRPr="008E75FC" w:rsidRDefault="005A01D5" w:rsidP="00775CE4">
            <w:pPr>
              <w:pStyle w:val="TableTitle"/>
              <w:jc w:val="center"/>
              <w:rPr>
                <w:rFonts w:asciiTheme="minorHAnsi" w:hAnsiTheme="minorHAnsi" w:cstheme="minorHAnsi"/>
                <w:color w:val="auto"/>
                <w:sz w:val="22"/>
                <w:szCs w:val="22"/>
                <w:lang w:val="en-CA" w:eastAsia="en-CA"/>
              </w:rPr>
            </w:pPr>
            <w:r w:rsidRPr="008E75FC">
              <w:rPr>
                <w:rFonts w:asciiTheme="minorHAnsi" w:hAnsiTheme="minorHAnsi" w:cstheme="minorHAnsi"/>
                <w:color w:val="auto"/>
                <w:sz w:val="22"/>
                <w:szCs w:val="22"/>
                <w:lang w:val="en-CA" w:eastAsia="en-CA"/>
              </w:rPr>
              <w:t>7</w:t>
            </w:r>
          </w:p>
        </w:tc>
        <w:tc>
          <w:tcPr>
            <w:tcW w:w="806" w:type="pct"/>
          </w:tcPr>
          <w:p w14:paraId="4FD7B0FC" w14:textId="6D3EF6D9" w:rsidR="005A01D5" w:rsidRPr="008E75FC" w:rsidRDefault="005A01D5" w:rsidP="00775CE4">
            <w:pPr>
              <w:pStyle w:val="TableTitle"/>
              <w:jc w:val="center"/>
              <w:rPr>
                <w:rFonts w:asciiTheme="minorHAnsi" w:hAnsiTheme="minorHAnsi" w:cstheme="minorHAnsi"/>
                <w:color w:val="auto"/>
                <w:sz w:val="22"/>
                <w:szCs w:val="22"/>
                <w:lang w:val="en-CA" w:eastAsia="en-CA"/>
              </w:rPr>
            </w:pPr>
            <w:r w:rsidRPr="008E75FC">
              <w:rPr>
                <w:rFonts w:asciiTheme="minorHAnsi" w:hAnsiTheme="minorHAnsi" w:cstheme="minorHAnsi"/>
                <w:color w:val="auto"/>
                <w:sz w:val="22"/>
                <w:szCs w:val="22"/>
                <w:lang w:val="en-CA" w:eastAsia="en-CA"/>
              </w:rPr>
              <w:t>3</w:t>
            </w:r>
          </w:p>
        </w:tc>
        <w:tc>
          <w:tcPr>
            <w:tcW w:w="610" w:type="pct"/>
          </w:tcPr>
          <w:p w14:paraId="20ADA36B" w14:textId="3B2A2D45" w:rsidR="005A01D5" w:rsidRPr="008E75FC" w:rsidRDefault="005A01D5" w:rsidP="00775CE4">
            <w:pPr>
              <w:pStyle w:val="TableTitle"/>
              <w:jc w:val="center"/>
              <w:rPr>
                <w:rFonts w:asciiTheme="minorHAnsi" w:hAnsiTheme="minorHAnsi" w:cstheme="minorHAnsi"/>
                <w:color w:val="auto"/>
                <w:sz w:val="22"/>
                <w:szCs w:val="22"/>
                <w:lang w:val="en-CA" w:eastAsia="en-CA"/>
              </w:rPr>
            </w:pPr>
            <w:r w:rsidRPr="008E75FC">
              <w:rPr>
                <w:rFonts w:asciiTheme="minorHAnsi" w:hAnsiTheme="minorHAnsi" w:cstheme="minorHAnsi"/>
                <w:color w:val="auto"/>
                <w:sz w:val="22"/>
                <w:szCs w:val="22"/>
                <w:lang w:val="en-CA" w:eastAsia="en-CA"/>
              </w:rPr>
              <w:t>4</w:t>
            </w:r>
          </w:p>
        </w:tc>
        <w:tc>
          <w:tcPr>
            <w:tcW w:w="677" w:type="pct"/>
          </w:tcPr>
          <w:p w14:paraId="4062FA9D" w14:textId="6AF8156C" w:rsidR="005A01D5" w:rsidRPr="008E75FC" w:rsidRDefault="005A01D5" w:rsidP="00775CE4">
            <w:pPr>
              <w:pStyle w:val="TableTitle"/>
              <w:jc w:val="center"/>
              <w:rPr>
                <w:rFonts w:asciiTheme="minorHAnsi" w:hAnsiTheme="minorHAnsi" w:cstheme="minorHAnsi"/>
                <w:color w:val="auto"/>
                <w:sz w:val="22"/>
                <w:szCs w:val="22"/>
                <w:lang w:val="en-CA" w:eastAsia="en-CA"/>
              </w:rPr>
            </w:pPr>
            <w:r w:rsidRPr="008E75FC">
              <w:rPr>
                <w:rFonts w:asciiTheme="minorHAnsi" w:hAnsiTheme="minorHAnsi" w:cstheme="minorHAnsi"/>
                <w:color w:val="auto"/>
                <w:sz w:val="22"/>
                <w:szCs w:val="22"/>
                <w:lang w:val="en-CA" w:eastAsia="en-CA"/>
              </w:rPr>
              <w:t>0</w:t>
            </w:r>
          </w:p>
        </w:tc>
        <w:tc>
          <w:tcPr>
            <w:tcW w:w="653" w:type="pct"/>
          </w:tcPr>
          <w:p w14:paraId="30354276" w14:textId="13365002" w:rsidR="005A01D5" w:rsidRPr="008E75FC" w:rsidRDefault="005A01D5" w:rsidP="00775CE4">
            <w:pPr>
              <w:pStyle w:val="TableTitle"/>
              <w:jc w:val="center"/>
              <w:rPr>
                <w:rFonts w:asciiTheme="minorHAnsi" w:hAnsiTheme="minorHAnsi" w:cstheme="minorHAnsi"/>
                <w:color w:val="auto"/>
                <w:sz w:val="22"/>
                <w:szCs w:val="22"/>
                <w:lang w:val="en-CA" w:eastAsia="en-CA"/>
              </w:rPr>
            </w:pPr>
            <w:r w:rsidRPr="008E75FC">
              <w:rPr>
                <w:rFonts w:asciiTheme="minorHAnsi" w:hAnsiTheme="minorHAnsi" w:cstheme="minorHAnsi"/>
                <w:color w:val="auto"/>
                <w:sz w:val="22"/>
                <w:szCs w:val="22"/>
                <w:lang w:val="en-CA" w:eastAsia="en-CA"/>
              </w:rPr>
              <w:t>0</w:t>
            </w:r>
          </w:p>
        </w:tc>
        <w:tc>
          <w:tcPr>
            <w:tcW w:w="543" w:type="pct"/>
          </w:tcPr>
          <w:p w14:paraId="06437227" w14:textId="0634E40F" w:rsidR="005A01D5" w:rsidRPr="008E75FC" w:rsidRDefault="005A01D5" w:rsidP="00775CE4">
            <w:pPr>
              <w:pStyle w:val="TableTitle"/>
              <w:jc w:val="center"/>
              <w:rPr>
                <w:rFonts w:asciiTheme="minorHAnsi" w:hAnsiTheme="minorHAnsi" w:cstheme="minorHAnsi"/>
                <w:color w:val="auto"/>
                <w:sz w:val="22"/>
                <w:szCs w:val="22"/>
                <w:lang w:val="en-CA" w:eastAsia="en-CA"/>
              </w:rPr>
            </w:pPr>
            <w:r w:rsidRPr="008E75FC">
              <w:rPr>
                <w:rFonts w:asciiTheme="minorHAnsi" w:hAnsiTheme="minorHAnsi" w:cstheme="minorHAnsi"/>
                <w:color w:val="auto"/>
                <w:sz w:val="22"/>
                <w:szCs w:val="22"/>
                <w:lang w:val="en-CA" w:eastAsia="en-CA"/>
              </w:rPr>
              <w:t>3</w:t>
            </w:r>
          </w:p>
        </w:tc>
      </w:tr>
    </w:tbl>
    <w:p w14:paraId="2158D3F5" w14:textId="5A7B3E19" w:rsidR="002C39B4" w:rsidRPr="008E75FC" w:rsidRDefault="002C39B4" w:rsidP="002C39B4">
      <w:pPr>
        <w:rPr>
          <w:rFonts w:asciiTheme="minorHAnsi" w:hAnsiTheme="minorHAnsi" w:cstheme="minorHAnsi"/>
          <w:sz w:val="22"/>
          <w:lang w:val="en-CA"/>
        </w:rPr>
      </w:pPr>
      <w:r w:rsidRPr="008E75FC">
        <w:rPr>
          <w:rFonts w:asciiTheme="minorHAnsi" w:hAnsiTheme="minorHAnsi" w:cstheme="minorHAnsi"/>
          <w:sz w:val="22"/>
          <w:lang w:val="en-CA"/>
        </w:rPr>
        <w:t>Note: The numbers may not add up as discontinued cases, cases resolved via early intervention and rare cases are not included in this table.</w:t>
      </w:r>
    </w:p>
    <w:p w14:paraId="67C82855" w14:textId="77777777" w:rsidR="002C39B4" w:rsidRPr="008E75FC" w:rsidRDefault="002C39B4" w:rsidP="00D47A15">
      <w:pPr>
        <w:spacing w:after="120"/>
        <w:rPr>
          <w:rFonts w:asciiTheme="minorHAnsi" w:hAnsiTheme="minorHAnsi" w:cstheme="minorHAnsi"/>
          <w:sz w:val="22"/>
          <w:lang w:val="en-CA"/>
        </w:rPr>
      </w:pPr>
      <w:r w:rsidRPr="008E75FC">
        <w:rPr>
          <w:rFonts w:asciiTheme="minorHAnsi" w:hAnsiTheme="minorHAnsi" w:cstheme="minorHAnsi"/>
          <w:sz w:val="22"/>
          <w:lang w:val="en-CA"/>
        </w:rPr>
        <w:t>Note: Each column is an independent calculation of the others. Cases received are cases received in the time period, cases completed are those completed in the period, not necessarily cases completed out of those received.</w:t>
      </w:r>
    </w:p>
    <w:p w14:paraId="11900CB9" w14:textId="12F09C8C" w:rsidR="00AA03F8" w:rsidRPr="008E75FC" w:rsidRDefault="00C14ACA" w:rsidP="001A20D8">
      <w:pPr>
        <w:pStyle w:val="Heading2"/>
        <w:spacing w:after="120"/>
        <w:rPr>
          <w:u w:val="single"/>
          <w:lang w:val="en-CA"/>
        </w:rPr>
      </w:pPr>
      <w:r w:rsidRPr="008E75FC">
        <w:rPr>
          <w:lang w:val="en-CA"/>
        </w:rPr>
        <w:lastRenderedPageBreak/>
        <w:t>Staffing and Non-Partisanship Survey Results</w:t>
      </w:r>
    </w:p>
    <w:p w14:paraId="144CE7CB" w14:textId="664FD46A" w:rsidR="00D4741E" w:rsidRPr="008E75FC" w:rsidRDefault="00D4741E" w:rsidP="00B7094B">
      <w:pPr>
        <w:autoSpaceDE w:val="0"/>
        <w:autoSpaceDN w:val="0"/>
        <w:adjustRightInd w:val="0"/>
        <w:spacing w:after="120"/>
        <w:rPr>
          <w:rFonts w:asciiTheme="minorHAnsi" w:hAnsiTheme="minorHAnsi" w:cstheme="minorHAnsi"/>
          <w:sz w:val="22"/>
          <w:szCs w:val="22"/>
          <w:lang w:val="en-CA"/>
        </w:rPr>
      </w:pPr>
      <w:r w:rsidRPr="008E75FC">
        <w:rPr>
          <w:rFonts w:asciiTheme="minorHAnsi" w:hAnsiTheme="minorHAnsi" w:cstheme="minorHAnsi"/>
          <w:sz w:val="22"/>
          <w:szCs w:val="22"/>
          <w:lang w:val="en-CA"/>
        </w:rPr>
        <w:t xml:space="preserve">The </w:t>
      </w:r>
      <w:r w:rsidR="001B7B66" w:rsidRPr="008E75FC">
        <w:rPr>
          <w:rFonts w:asciiTheme="minorHAnsi" w:hAnsiTheme="minorHAnsi" w:cstheme="minorHAnsi"/>
          <w:sz w:val="22"/>
          <w:szCs w:val="22"/>
          <w:lang w:val="en-CA"/>
        </w:rPr>
        <w:t xml:space="preserve">results of the </w:t>
      </w:r>
      <w:r w:rsidRPr="008E75FC">
        <w:rPr>
          <w:rFonts w:asciiTheme="minorHAnsi" w:hAnsiTheme="minorHAnsi" w:cstheme="minorHAnsi"/>
          <w:sz w:val="22"/>
          <w:szCs w:val="22"/>
          <w:lang w:val="en-CA"/>
        </w:rPr>
        <w:t xml:space="preserve">Staffing and Non-Partisanship </w:t>
      </w:r>
      <w:r w:rsidR="001B7B66" w:rsidRPr="008E75FC">
        <w:rPr>
          <w:rFonts w:asciiTheme="minorHAnsi" w:hAnsiTheme="minorHAnsi" w:cstheme="minorHAnsi"/>
          <w:sz w:val="22"/>
          <w:szCs w:val="22"/>
          <w:lang w:val="en-CA"/>
        </w:rPr>
        <w:t xml:space="preserve">Survey </w:t>
      </w:r>
      <w:r w:rsidRPr="008E75FC">
        <w:rPr>
          <w:rFonts w:asciiTheme="minorHAnsi" w:hAnsiTheme="minorHAnsi" w:cstheme="minorHAnsi"/>
          <w:sz w:val="22"/>
          <w:szCs w:val="22"/>
          <w:lang w:val="en-CA"/>
        </w:rPr>
        <w:t xml:space="preserve">(SNPS) are based on a final response rate of 43.5% for </w:t>
      </w:r>
      <w:r w:rsidR="0073388C" w:rsidRPr="008E75FC">
        <w:rPr>
          <w:rFonts w:asciiTheme="minorHAnsi" w:hAnsiTheme="minorHAnsi" w:cstheme="minorHAnsi"/>
          <w:sz w:val="22"/>
          <w:szCs w:val="22"/>
          <w:lang w:val="en-CA"/>
        </w:rPr>
        <w:t>INAC</w:t>
      </w:r>
      <w:r w:rsidRPr="008E75FC">
        <w:rPr>
          <w:rFonts w:asciiTheme="minorHAnsi" w:hAnsiTheme="minorHAnsi" w:cstheme="minorHAnsi"/>
          <w:sz w:val="22"/>
          <w:szCs w:val="22"/>
          <w:lang w:val="en-CA"/>
        </w:rPr>
        <w:t xml:space="preserve">. When the survey frame was created in October 2017, </w:t>
      </w:r>
      <w:r w:rsidR="0073388C" w:rsidRPr="008E75FC">
        <w:rPr>
          <w:rFonts w:asciiTheme="minorHAnsi" w:hAnsiTheme="minorHAnsi" w:cstheme="minorHAnsi"/>
          <w:sz w:val="22"/>
          <w:szCs w:val="22"/>
          <w:lang w:val="en-CA"/>
        </w:rPr>
        <w:t>CIRNAC and ISC</w:t>
      </w:r>
      <w:r w:rsidRPr="008E75FC">
        <w:rPr>
          <w:rFonts w:asciiTheme="minorHAnsi" w:hAnsiTheme="minorHAnsi" w:cstheme="minorHAnsi"/>
          <w:sz w:val="22"/>
          <w:szCs w:val="22"/>
          <w:lang w:val="en-CA"/>
        </w:rPr>
        <w:t xml:space="preserve"> did not exist. However, these departments did exist for selection purposes when the data was collected. The results of these </w:t>
      </w:r>
      <w:r w:rsidR="001B7B66" w:rsidRPr="008E75FC">
        <w:rPr>
          <w:rFonts w:asciiTheme="minorHAnsi" w:hAnsiTheme="minorHAnsi" w:cstheme="minorHAnsi"/>
          <w:sz w:val="22"/>
          <w:szCs w:val="22"/>
          <w:lang w:val="en-CA"/>
        </w:rPr>
        <w:t>two</w:t>
      </w:r>
      <w:r w:rsidRPr="008E75FC">
        <w:rPr>
          <w:rFonts w:asciiTheme="minorHAnsi" w:hAnsiTheme="minorHAnsi" w:cstheme="minorHAnsi"/>
          <w:sz w:val="22"/>
          <w:szCs w:val="22"/>
          <w:lang w:val="en-CA"/>
        </w:rPr>
        <w:t xml:space="preserve"> departments were combined with those of </w:t>
      </w:r>
      <w:r w:rsidR="0073388C" w:rsidRPr="008E75FC">
        <w:rPr>
          <w:rFonts w:asciiTheme="minorHAnsi" w:hAnsiTheme="minorHAnsi" w:cstheme="minorHAnsi"/>
          <w:sz w:val="22"/>
          <w:szCs w:val="22"/>
          <w:lang w:val="en-CA"/>
        </w:rPr>
        <w:t>INAC</w:t>
      </w:r>
      <w:r w:rsidRPr="008E75FC">
        <w:rPr>
          <w:rFonts w:asciiTheme="minorHAnsi" w:hAnsiTheme="minorHAnsi" w:cstheme="minorHAnsi"/>
          <w:sz w:val="22"/>
          <w:szCs w:val="22"/>
          <w:lang w:val="en-CA"/>
        </w:rPr>
        <w:t xml:space="preserve">. </w:t>
      </w:r>
    </w:p>
    <w:p w14:paraId="292E6A77" w14:textId="660FEBCD" w:rsidR="0062180E" w:rsidRPr="008E75FC" w:rsidRDefault="002D2537" w:rsidP="00B7094B">
      <w:pPr>
        <w:pStyle w:val="HTMLPreformatted"/>
        <w:shd w:val="clear" w:color="auto" w:fill="FFFFFF"/>
        <w:spacing w:after="120"/>
        <w:rPr>
          <w:rFonts w:asciiTheme="minorHAnsi" w:hAnsiTheme="minorHAnsi" w:cstheme="minorHAnsi"/>
          <w:color w:val="202124"/>
          <w:sz w:val="22"/>
          <w:szCs w:val="22"/>
        </w:rPr>
      </w:pPr>
      <w:r w:rsidRPr="008E75FC">
        <w:rPr>
          <w:rFonts w:asciiTheme="minorHAnsi" w:hAnsiTheme="minorHAnsi" w:cstheme="minorHAnsi"/>
          <w:sz w:val="22"/>
          <w:szCs w:val="22"/>
        </w:rPr>
        <w:t>Overall</w:t>
      </w:r>
      <w:r w:rsidR="001B7B66" w:rsidRPr="008E75FC">
        <w:rPr>
          <w:rFonts w:asciiTheme="minorHAnsi" w:hAnsiTheme="minorHAnsi" w:cstheme="minorHAnsi"/>
          <w:sz w:val="22"/>
          <w:szCs w:val="22"/>
        </w:rPr>
        <w:t xml:space="preserve">, </w:t>
      </w:r>
      <w:r w:rsidR="0073388C" w:rsidRPr="008E75FC">
        <w:rPr>
          <w:rFonts w:asciiTheme="minorHAnsi" w:hAnsiTheme="minorHAnsi" w:cstheme="minorHAnsi"/>
          <w:sz w:val="22"/>
          <w:szCs w:val="22"/>
        </w:rPr>
        <w:t>I</w:t>
      </w:r>
      <w:r w:rsidRPr="008E75FC">
        <w:rPr>
          <w:rFonts w:asciiTheme="minorHAnsi" w:hAnsiTheme="minorHAnsi" w:cstheme="minorHAnsi"/>
          <w:sz w:val="22"/>
          <w:szCs w:val="22"/>
        </w:rPr>
        <w:t>N</w:t>
      </w:r>
      <w:r w:rsidR="0073388C" w:rsidRPr="008E75FC">
        <w:rPr>
          <w:rFonts w:asciiTheme="minorHAnsi" w:hAnsiTheme="minorHAnsi" w:cstheme="minorHAnsi"/>
          <w:sz w:val="22"/>
          <w:szCs w:val="22"/>
        </w:rPr>
        <w:t>A</w:t>
      </w:r>
      <w:r w:rsidRPr="008E75FC">
        <w:rPr>
          <w:rFonts w:asciiTheme="minorHAnsi" w:hAnsiTheme="minorHAnsi" w:cstheme="minorHAnsi"/>
          <w:sz w:val="22"/>
          <w:szCs w:val="22"/>
        </w:rPr>
        <w:t>C</w:t>
      </w:r>
      <w:r w:rsidR="0073388C" w:rsidRPr="008E75FC">
        <w:rPr>
          <w:rFonts w:asciiTheme="minorHAnsi" w:hAnsiTheme="minorHAnsi" w:cstheme="minorHAnsi"/>
          <w:sz w:val="22"/>
          <w:szCs w:val="22"/>
        </w:rPr>
        <w:t>’s</w:t>
      </w:r>
      <w:r w:rsidRPr="008E75FC">
        <w:rPr>
          <w:rFonts w:asciiTheme="minorHAnsi" w:hAnsiTheme="minorHAnsi" w:cstheme="minorHAnsi"/>
          <w:sz w:val="22"/>
          <w:szCs w:val="22"/>
        </w:rPr>
        <w:t xml:space="preserve"> SNPS results present some inconsistencies in comparison with </w:t>
      </w:r>
      <w:r w:rsidR="00030C43" w:rsidRPr="008E75FC">
        <w:rPr>
          <w:rFonts w:asciiTheme="minorHAnsi" w:hAnsiTheme="minorHAnsi" w:cstheme="minorHAnsi"/>
          <w:sz w:val="22"/>
          <w:szCs w:val="22"/>
        </w:rPr>
        <w:t xml:space="preserve">those of </w:t>
      </w:r>
      <w:r w:rsidRPr="008E75FC">
        <w:rPr>
          <w:rFonts w:asciiTheme="minorHAnsi" w:hAnsiTheme="minorHAnsi" w:cstheme="minorHAnsi"/>
          <w:sz w:val="22"/>
          <w:szCs w:val="22"/>
        </w:rPr>
        <w:t xml:space="preserve">other </w:t>
      </w:r>
      <w:r w:rsidR="008D3540" w:rsidRPr="008E75FC">
        <w:rPr>
          <w:rFonts w:asciiTheme="minorHAnsi" w:hAnsiTheme="minorHAnsi" w:cstheme="minorHAnsi"/>
          <w:sz w:val="22"/>
          <w:szCs w:val="22"/>
        </w:rPr>
        <w:t xml:space="preserve">large </w:t>
      </w:r>
      <w:r w:rsidRPr="008E75FC">
        <w:rPr>
          <w:rFonts w:asciiTheme="minorHAnsi" w:hAnsiTheme="minorHAnsi" w:cstheme="minorHAnsi"/>
          <w:sz w:val="22"/>
          <w:szCs w:val="22"/>
        </w:rPr>
        <w:t xml:space="preserve">organizations and the public service. </w:t>
      </w:r>
      <w:r w:rsidR="0062180E" w:rsidRPr="008E75FC">
        <w:rPr>
          <w:rFonts w:asciiTheme="minorHAnsi" w:hAnsiTheme="minorHAnsi" w:cstheme="minorHAnsi"/>
          <w:color w:val="202124"/>
          <w:sz w:val="22"/>
          <w:szCs w:val="22"/>
        </w:rPr>
        <w:t>In addition, you will see a gap between how staffing advisors perceive themselves compared to managers' perceptions of the services received.</w:t>
      </w:r>
    </w:p>
    <w:p w14:paraId="70C198D1" w14:textId="7478F7C3" w:rsidR="00D4741E" w:rsidRPr="008E75FC" w:rsidRDefault="00D4741E" w:rsidP="00D4741E">
      <w:pPr>
        <w:pStyle w:val="ListParagraph"/>
        <w:spacing w:after="0"/>
        <w:rPr>
          <w:rFonts w:asciiTheme="minorHAnsi" w:hAnsiTheme="minorHAnsi" w:cstheme="minorHAnsi"/>
          <w:sz w:val="22"/>
          <w:szCs w:val="22"/>
          <w:lang w:val="en-CA"/>
        </w:rPr>
      </w:pPr>
      <w:r w:rsidRPr="008E75FC">
        <w:rPr>
          <w:rFonts w:asciiTheme="minorHAnsi" w:hAnsiTheme="minorHAnsi" w:cstheme="minorHAnsi"/>
          <w:sz w:val="22"/>
          <w:szCs w:val="22"/>
          <w:lang w:val="en-CA"/>
        </w:rPr>
        <w:t xml:space="preserve">Below are </w:t>
      </w:r>
      <w:r w:rsidR="00030C43" w:rsidRPr="008E75FC">
        <w:rPr>
          <w:rFonts w:asciiTheme="minorHAnsi" w:hAnsiTheme="minorHAnsi" w:cstheme="minorHAnsi"/>
          <w:sz w:val="22"/>
          <w:szCs w:val="22"/>
          <w:lang w:val="en-CA"/>
        </w:rPr>
        <w:t xml:space="preserve">the </w:t>
      </w:r>
      <w:r w:rsidRPr="008E75FC">
        <w:rPr>
          <w:rFonts w:asciiTheme="minorHAnsi" w:hAnsiTheme="minorHAnsi" w:cstheme="minorHAnsi"/>
          <w:sz w:val="22"/>
          <w:szCs w:val="22"/>
          <w:lang w:val="en-CA"/>
        </w:rPr>
        <w:t xml:space="preserve">key findings from </w:t>
      </w:r>
      <w:r w:rsidR="001B7B66" w:rsidRPr="008E75FC">
        <w:rPr>
          <w:rFonts w:asciiTheme="minorHAnsi" w:hAnsiTheme="minorHAnsi" w:cstheme="minorHAnsi"/>
          <w:sz w:val="22"/>
          <w:szCs w:val="22"/>
          <w:lang w:val="en-CA"/>
        </w:rPr>
        <w:t xml:space="preserve">INAC’s </w:t>
      </w:r>
      <w:r w:rsidRPr="008E75FC">
        <w:rPr>
          <w:rFonts w:asciiTheme="minorHAnsi" w:hAnsiTheme="minorHAnsi" w:cstheme="minorHAnsi"/>
          <w:sz w:val="22"/>
          <w:szCs w:val="22"/>
          <w:lang w:val="en-CA"/>
        </w:rPr>
        <w:t>2018 SNPS results:</w:t>
      </w:r>
    </w:p>
    <w:p w14:paraId="1DA2C767" w14:textId="224889DB" w:rsidR="00686702" w:rsidRPr="008E75FC" w:rsidRDefault="00212DBE" w:rsidP="00686702">
      <w:pPr>
        <w:numPr>
          <w:ilvl w:val="0"/>
          <w:numId w:val="25"/>
        </w:num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eastAsia="en-CA"/>
        </w:rPr>
        <w:t xml:space="preserve">100% of </w:t>
      </w:r>
      <w:r w:rsidRPr="008E75FC">
        <w:rPr>
          <w:rStyle w:val="Strong"/>
          <w:rFonts w:cstheme="minorHAnsi"/>
          <w:szCs w:val="22"/>
          <w:lang w:val="en-CA"/>
        </w:rPr>
        <w:t>staffing advisors</w:t>
      </w:r>
      <w:r w:rsidRPr="008E75FC">
        <w:rPr>
          <w:rFonts w:asciiTheme="minorHAnsi" w:hAnsiTheme="minorHAnsi" w:cstheme="minorHAnsi"/>
          <w:b/>
          <w:bCs/>
          <w:sz w:val="22"/>
          <w:szCs w:val="22"/>
          <w:lang w:val="en-CA"/>
        </w:rPr>
        <w:t xml:space="preserve"> </w:t>
      </w:r>
      <w:r w:rsidRPr="008E75FC">
        <w:rPr>
          <w:rFonts w:asciiTheme="minorHAnsi" w:hAnsiTheme="minorHAnsi" w:cstheme="minorHAnsi"/>
          <w:sz w:val="22"/>
          <w:szCs w:val="22"/>
          <w:lang w:val="en-CA"/>
        </w:rPr>
        <w:t>indicated</w:t>
      </w:r>
      <w:r w:rsidR="00686702" w:rsidRPr="008E75FC">
        <w:rPr>
          <w:rFonts w:asciiTheme="minorHAnsi" w:hAnsiTheme="minorHAnsi" w:cstheme="minorHAnsi"/>
          <w:sz w:val="22"/>
          <w:szCs w:val="22"/>
          <w:lang w:val="en-CA"/>
        </w:rPr>
        <w:t xml:space="preserve"> </w:t>
      </w:r>
      <w:r w:rsidR="00686702" w:rsidRPr="008E75FC">
        <w:rPr>
          <w:rFonts w:asciiTheme="minorHAnsi" w:eastAsiaTheme="minorHAnsi" w:hAnsiTheme="minorHAnsi" w:cstheme="minorHAnsi"/>
          <w:sz w:val="22"/>
          <w:szCs w:val="22"/>
          <w:lang w:val="en-CA"/>
        </w:rPr>
        <w:t xml:space="preserve">that they are confident in their ability to provide managers with useful advice on staffing, </w:t>
      </w:r>
      <w:r w:rsidR="00686702" w:rsidRPr="008E75FC">
        <w:rPr>
          <w:rFonts w:asciiTheme="minorHAnsi" w:hAnsiTheme="minorHAnsi" w:cstheme="minorHAnsi"/>
          <w:sz w:val="22"/>
          <w:szCs w:val="22"/>
          <w:lang w:val="en-CA" w:eastAsia="en-CA"/>
        </w:rPr>
        <w:t xml:space="preserve">as compared to 98.3% in similar size organizations and 98.3% across all organizations in the federal public service. </w:t>
      </w:r>
    </w:p>
    <w:p w14:paraId="028F03D3" w14:textId="77777777" w:rsidR="00212DBE" w:rsidRPr="008E75FC" w:rsidRDefault="00212DBE" w:rsidP="00212DBE">
      <w:pPr>
        <w:numPr>
          <w:ilvl w:val="0"/>
          <w:numId w:val="25"/>
        </w:num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 xml:space="preserve">49.4% of </w:t>
      </w:r>
      <w:r w:rsidRPr="008E75FC">
        <w:rPr>
          <w:rStyle w:val="Strong"/>
          <w:rFonts w:cstheme="minorHAnsi"/>
          <w:szCs w:val="22"/>
          <w:lang w:val="en-CA"/>
        </w:rPr>
        <w:t>managers</w:t>
      </w:r>
      <w:r w:rsidRPr="008E75FC">
        <w:rPr>
          <w:rFonts w:asciiTheme="minorHAnsi" w:hAnsiTheme="minorHAnsi" w:cstheme="minorHAnsi"/>
          <w:b/>
          <w:bCs/>
          <w:sz w:val="22"/>
          <w:szCs w:val="22"/>
          <w:lang w:val="en-CA"/>
        </w:rPr>
        <w:t xml:space="preserve"> </w:t>
      </w:r>
      <w:r w:rsidRPr="008E75FC">
        <w:rPr>
          <w:rFonts w:asciiTheme="minorHAnsi" w:hAnsiTheme="minorHAnsi" w:cstheme="minorHAnsi"/>
          <w:sz w:val="22"/>
          <w:szCs w:val="22"/>
          <w:lang w:val="en-CA"/>
        </w:rPr>
        <w:t xml:space="preserve">agreed that, overall, they were satisfied with the staffing services they received within their organizations, </w:t>
      </w:r>
      <w:r w:rsidRPr="008E75FC">
        <w:rPr>
          <w:rFonts w:asciiTheme="minorHAnsi" w:hAnsiTheme="minorHAnsi" w:cstheme="minorHAnsi"/>
          <w:sz w:val="22"/>
          <w:szCs w:val="22"/>
          <w:lang w:val="en-CA" w:eastAsia="en-CA"/>
        </w:rPr>
        <w:t xml:space="preserve">as compared to 57.7% in similar size organizations and 59.4% across all organizations in the federal public service. </w:t>
      </w:r>
    </w:p>
    <w:p w14:paraId="3B309AB5" w14:textId="77777777" w:rsidR="00975689" w:rsidRPr="008E75FC" w:rsidRDefault="00B36AA1" w:rsidP="00975689">
      <w:pPr>
        <w:numPr>
          <w:ilvl w:val="0"/>
          <w:numId w:val="25"/>
        </w:numPr>
        <w:rPr>
          <w:rFonts w:asciiTheme="minorHAnsi" w:hAnsiTheme="minorHAnsi" w:cstheme="minorHAnsi"/>
          <w:sz w:val="22"/>
          <w:szCs w:val="22"/>
          <w:lang w:val="en-CA" w:eastAsia="en-CA"/>
        </w:rPr>
      </w:pPr>
      <w:r w:rsidRPr="008E75FC">
        <w:rPr>
          <w:rFonts w:asciiTheme="minorHAnsi" w:hAnsiTheme="minorHAnsi" w:cstheme="minorHAnsi"/>
          <w:sz w:val="22"/>
          <w:szCs w:val="22"/>
          <w:lang w:val="en-CA" w:eastAsia="en-CA"/>
        </w:rPr>
        <w:t xml:space="preserve">55.9% of </w:t>
      </w:r>
      <w:r w:rsidRPr="008E75FC">
        <w:rPr>
          <w:rStyle w:val="Strong"/>
          <w:rFonts w:eastAsiaTheme="minorHAnsi"/>
          <w:lang w:val="en-CA"/>
        </w:rPr>
        <w:t>employees</w:t>
      </w:r>
      <w:r w:rsidRPr="008E75FC">
        <w:rPr>
          <w:rFonts w:asciiTheme="minorHAnsi" w:eastAsiaTheme="minorHAnsi" w:hAnsiTheme="minorHAnsi" w:cstheme="minorHAnsi"/>
          <w:b/>
          <w:bCs/>
          <w:sz w:val="22"/>
          <w:szCs w:val="22"/>
          <w:lang w:val="en-CA"/>
        </w:rPr>
        <w:t xml:space="preserve"> </w:t>
      </w:r>
      <w:r w:rsidRPr="008E75FC">
        <w:rPr>
          <w:rFonts w:asciiTheme="minorHAnsi" w:eastAsiaTheme="minorHAnsi" w:hAnsiTheme="minorHAnsi" w:cstheme="minorHAnsi"/>
          <w:sz w:val="22"/>
          <w:szCs w:val="22"/>
          <w:lang w:val="en-CA"/>
        </w:rPr>
        <w:t xml:space="preserve">agreed that people hired in their work units can do the job, </w:t>
      </w:r>
      <w:r w:rsidRPr="008E75FC">
        <w:rPr>
          <w:rFonts w:asciiTheme="minorHAnsi" w:hAnsiTheme="minorHAnsi" w:cstheme="minorHAnsi"/>
          <w:sz w:val="22"/>
          <w:szCs w:val="22"/>
          <w:lang w:val="en-CA" w:eastAsia="en-CA"/>
        </w:rPr>
        <w:t>as compared to 52.3% in similar size organizations and 53.8% across all organizations in the federal public service.</w:t>
      </w:r>
    </w:p>
    <w:p w14:paraId="2B6F1D7F" w14:textId="3A851969" w:rsidR="00975689" w:rsidRPr="008E75FC" w:rsidRDefault="00975689" w:rsidP="00830DCA">
      <w:pPr>
        <w:numPr>
          <w:ilvl w:val="0"/>
          <w:numId w:val="25"/>
        </w:numPr>
        <w:autoSpaceDE w:val="0"/>
        <w:autoSpaceDN w:val="0"/>
        <w:adjustRightInd w:val="0"/>
        <w:rPr>
          <w:rFonts w:asciiTheme="minorHAnsi" w:eastAsiaTheme="minorHAnsi" w:hAnsiTheme="minorHAnsi" w:cstheme="minorHAnsi"/>
          <w:sz w:val="22"/>
          <w:szCs w:val="22"/>
          <w:lang w:val="en-CA"/>
        </w:rPr>
      </w:pPr>
      <w:r w:rsidRPr="008E75FC">
        <w:rPr>
          <w:rFonts w:asciiTheme="minorHAnsi" w:hAnsiTheme="minorHAnsi" w:cstheme="minorHAnsi"/>
          <w:sz w:val="22"/>
          <w:szCs w:val="22"/>
          <w:lang w:val="en-CA" w:eastAsia="en-CA"/>
        </w:rPr>
        <w:t xml:space="preserve">59.8% of </w:t>
      </w:r>
      <w:r w:rsidRPr="008E75FC">
        <w:rPr>
          <w:rStyle w:val="Strong"/>
          <w:rFonts w:eastAsiaTheme="minorHAnsi"/>
          <w:lang w:val="en-CA"/>
        </w:rPr>
        <w:t xml:space="preserve">managers </w:t>
      </w:r>
      <w:r w:rsidRPr="008E75FC">
        <w:rPr>
          <w:rFonts w:asciiTheme="minorHAnsi" w:eastAsiaTheme="minorHAnsi" w:hAnsiTheme="minorHAnsi" w:cstheme="minorHAnsi"/>
          <w:sz w:val="22"/>
          <w:szCs w:val="22"/>
          <w:lang w:val="en-CA"/>
        </w:rPr>
        <w:t xml:space="preserve">indicated that the NDS has improved the way they hire and appoint persons to and within their organization, </w:t>
      </w:r>
      <w:r w:rsidRPr="008E75FC">
        <w:rPr>
          <w:rFonts w:asciiTheme="minorHAnsi" w:hAnsiTheme="minorHAnsi" w:cstheme="minorHAnsi"/>
          <w:sz w:val="22"/>
          <w:szCs w:val="22"/>
          <w:lang w:val="en-CA" w:eastAsia="en-CA"/>
        </w:rPr>
        <w:t>as compared to 5</w:t>
      </w:r>
      <w:r w:rsidR="009C39B7" w:rsidRPr="008E75FC">
        <w:rPr>
          <w:rFonts w:asciiTheme="minorHAnsi" w:hAnsiTheme="minorHAnsi" w:cstheme="minorHAnsi"/>
          <w:sz w:val="22"/>
          <w:szCs w:val="22"/>
          <w:lang w:val="en-CA" w:eastAsia="en-CA"/>
        </w:rPr>
        <w:t>4</w:t>
      </w:r>
      <w:r w:rsidRPr="008E75FC">
        <w:rPr>
          <w:rFonts w:asciiTheme="minorHAnsi" w:hAnsiTheme="minorHAnsi" w:cstheme="minorHAnsi"/>
          <w:sz w:val="22"/>
          <w:szCs w:val="22"/>
          <w:lang w:val="en-CA" w:eastAsia="en-CA"/>
        </w:rPr>
        <w:t>.</w:t>
      </w:r>
      <w:r w:rsidR="009C39B7" w:rsidRPr="008E75FC">
        <w:rPr>
          <w:rFonts w:asciiTheme="minorHAnsi" w:hAnsiTheme="minorHAnsi" w:cstheme="minorHAnsi"/>
          <w:sz w:val="22"/>
          <w:szCs w:val="22"/>
          <w:lang w:val="en-CA" w:eastAsia="en-CA"/>
        </w:rPr>
        <w:t>4</w:t>
      </w:r>
      <w:r w:rsidRPr="008E75FC">
        <w:rPr>
          <w:rFonts w:asciiTheme="minorHAnsi" w:hAnsiTheme="minorHAnsi" w:cstheme="minorHAnsi"/>
          <w:sz w:val="22"/>
          <w:szCs w:val="22"/>
          <w:lang w:val="en-CA" w:eastAsia="en-CA"/>
        </w:rPr>
        <w:t>% in similar size organizations and 5</w:t>
      </w:r>
      <w:r w:rsidR="009C39B7" w:rsidRPr="008E75FC">
        <w:rPr>
          <w:rFonts w:asciiTheme="minorHAnsi" w:hAnsiTheme="minorHAnsi" w:cstheme="minorHAnsi"/>
          <w:sz w:val="22"/>
          <w:szCs w:val="22"/>
          <w:lang w:val="en-CA" w:eastAsia="en-CA"/>
        </w:rPr>
        <w:t>6</w:t>
      </w:r>
      <w:r w:rsidRPr="008E75FC">
        <w:rPr>
          <w:rFonts w:asciiTheme="minorHAnsi" w:hAnsiTheme="minorHAnsi" w:cstheme="minorHAnsi"/>
          <w:sz w:val="22"/>
          <w:szCs w:val="22"/>
          <w:lang w:val="en-CA" w:eastAsia="en-CA"/>
        </w:rPr>
        <w:t>.</w:t>
      </w:r>
      <w:r w:rsidR="009C39B7" w:rsidRPr="008E75FC">
        <w:rPr>
          <w:rFonts w:asciiTheme="minorHAnsi" w:hAnsiTheme="minorHAnsi" w:cstheme="minorHAnsi"/>
          <w:sz w:val="22"/>
          <w:szCs w:val="22"/>
          <w:lang w:val="en-CA" w:eastAsia="en-CA"/>
        </w:rPr>
        <w:t>1</w:t>
      </w:r>
      <w:r w:rsidRPr="008E75FC">
        <w:rPr>
          <w:rFonts w:asciiTheme="minorHAnsi" w:hAnsiTheme="minorHAnsi" w:cstheme="minorHAnsi"/>
          <w:sz w:val="22"/>
          <w:szCs w:val="22"/>
          <w:lang w:val="en-CA" w:eastAsia="en-CA"/>
        </w:rPr>
        <w:t>% across all organizations in the federal public service.</w:t>
      </w:r>
      <w:r w:rsidR="00D4741E" w:rsidRPr="008E75FC">
        <w:rPr>
          <w:rFonts w:asciiTheme="minorHAnsi" w:hAnsiTheme="minorHAnsi" w:cstheme="minorHAnsi"/>
          <w:sz w:val="22"/>
          <w:szCs w:val="22"/>
          <w:lang w:val="en-CA" w:eastAsia="en-CA"/>
        </w:rPr>
        <w:t xml:space="preserve">  </w:t>
      </w:r>
    </w:p>
    <w:p w14:paraId="4162EA64" w14:textId="6DBAECF9" w:rsidR="00975689" w:rsidRPr="008E75FC" w:rsidRDefault="00975689" w:rsidP="00830DCA">
      <w:pPr>
        <w:numPr>
          <w:ilvl w:val="0"/>
          <w:numId w:val="25"/>
        </w:numPr>
        <w:autoSpaceDE w:val="0"/>
        <w:autoSpaceDN w:val="0"/>
        <w:adjustRightInd w:val="0"/>
        <w:rPr>
          <w:rFonts w:asciiTheme="minorHAnsi" w:hAnsiTheme="minorHAnsi" w:cstheme="minorHAnsi"/>
          <w:sz w:val="22"/>
          <w:szCs w:val="22"/>
          <w:lang w:val="en-CA" w:eastAsia="en-CA"/>
        </w:rPr>
      </w:pPr>
      <w:r w:rsidRPr="008E75FC">
        <w:rPr>
          <w:rFonts w:asciiTheme="minorHAnsi" w:hAnsiTheme="minorHAnsi" w:cstheme="minorHAnsi"/>
          <w:sz w:val="22"/>
          <w:szCs w:val="22"/>
          <w:lang w:val="en-CA" w:eastAsia="en-CA"/>
        </w:rPr>
        <w:t xml:space="preserve">91.6% of </w:t>
      </w:r>
      <w:r w:rsidRPr="008E75FC">
        <w:rPr>
          <w:rStyle w:val="Strong"/>
          <w:lang w:val="en-CA"/>
        </w:rPr>
        <w:t>managers</w:t>
      </w:r>
      <w:r w:rsidRPr="008E75FC">
        <w:rPr>
          <w:rFonts w:asciiTheme="minorHAnsi" w:hAnsiTheme="minorHAnsi" w:cstheme="minorHAnsi"/>
          <w:sz w:val="22"/>
          <w:szCs w:val="22"/>
          <w:lang w:val="en-CA" w:eastAsia="en-CA"/>
        </w:rPr>
        <w:t xml:space="preserve"> </w:t>
      </w:r>
      <w:r w:rsidRPr="008E75FC">
        <w:rPr>
          <w:rFonts w:asciiTheme="minorHAnsi" w:eastAsiaTheme="minorHAnsi" w:hAnsiTheme="minorHAnsi" w:cstheme="minorHAnsi"/>
          <w:sz w:val="22"/>
          <w:szCs w:val="22"/>
          <w:lang w:val="en-CA"/>
        </w:rPr>
        <w:t xml:space="preserve">indicated that the administrative process to staff positions within their organizations is burdensome, </w:t>
      </w:r>
      <w:r w:rsidRPr="008E75FC">
        <w:rPr>
          <w:rFonts w:asciiTheme="minorHAnsi" w:hAnsiTheme="minorHAnsi" w:cstheme="minorHAnsi"/>
          <w:sz w:val="22"/>
          <w:szCs w:val="22"/>
          <w:lang w:val="en-CA" w:eastAsia="en-CA"/>
        </w:rPr>
        <w:t xml:space="preserve">as compared to 88.6% in similar size organizations and 80.1% across all organizations in the federal public service.  </w:t>
      </w:r>
    </w:p>
    <w:p w14:paraId="4C8BA375" w14:textId="77777777" w:rsidR="009056CD" w:rsidRPr="008E75FC" w:rsidRDefault="009056CD" w:rsidP="006B258A">
      <w:pPr>
        <w:pStyle w:val="Heading1"/>
        <w:spacing w:before="0" w:after="120"/>
        <w:rPr>
          <w:lang w:val="en-CA"/>
        </w:rPr>
        <w:sectPr w:rsidR="009056CD" w:rsidRPr="008E75FC" w:rsidSect="005D4281">
          <w:pgSz w:w="12240" w:h="15840"/>
          <w:pgMar w:top="1440" w:right="1080" w:bottom="1440" w:left="1080" w:header="709" w:footer="284" w:gutter="0"/>
          <w:cols w:space="708"/>
          <w:titlePg/>
          <w:docGrid w:linePitch="360"/>
        </w:sectPr>
      </w:pPr>
    </w:p>
    <w:p w14:paraId="2E8D4698" w14:textId="339A967A" w:rsidR="00AA03F8" w:rsidRPr="008E75FC" w:rsidRDefault="00C14ACA" w:rsidP="007F1DE2">
      <w:pPr>
        <w:pStyle w:val="Heading1"/>
        <w:spacing w:after="120"/>
        <w:rPr>
          <w:lang w:val="en-CA"/>
        </w:rPr>
      </w:pPr>
      <w:r w:rsidRPr="008E75FC">
        <w:rPr>
          <w:lang w:val="en-CA"/>
        </w:rPr>
        <w:lastRenderedPageBreak/>
        <w:t>Diversity Profile</w:t>
      </w:r>
    </w:p>
    <w:p w14:paraId="745E51A6" w14:textId="391958E5" w:rsidR="007D069C" w:rsidRPr="008E75FC" w:rsidRDefault="008B7DB4" w:rsidP="00B7094B">
      <w:pPr>
        <w:spacing w:after="120"/>
        <w:rPr>
          <w:rFonts w:asciiTheme="minorHAnsi" w:hAnsiTheme="minorHAnsi" w:cstheme="minorHAnsi"/>
          <w:sz w:val="22"/>
          <w:szCs w:val="22"/>
          <w:lang w:val="en-CA"/>
        </w:rPr>
      </w:pPr>
      <w:r w:rsidRPr="008E75FC">
        <w:rPr>
          <w:rFonts w:asciiTheme="minorHAnsi" w:hAnsiTheme="minorHAnsi" w:cstheme="minorHAnsi"/>
          <w:sz w:val="22"/>
          <w:szCs w:val="22"/>
          <w:lang w:val="en-CA"/>
        </w:rPr>
        <w:t xml:space="preserve">It is important to note that the </w:t>
      </w:r>
      <w:r w:rsidR="00D73EFB" w:rsidRPr="008E75FC">
        <w:rPr>
          <w:rFonts w:asciiTheme="minorHAnsi" w:hAnsiTheme="minorHAnsi" w:cstheme="minorHAnsi"/>
          <w:sz w:val="22"/>
          <w:szCs w:val="22"/>
          <w:lang w:val="en-CA"/>
        </w:rPr>
        <w:t>organizational coding</w:t>
      </w:r>
      <w:r w:rsidRPr="008E75FC">
        <w:rPr>
          <w:rFonts w:asciiTheme="minorHAnsi" w:hAnsiTheme="minorHAnsi" w:cstheme="minorHAnsi"/>
          <w:sz w:val="22"/>
          <w:szCs w:val="22"/>
          <w:lang w:val="en-CA"/>
        </w:rPr>
        <w:t xml:space="preserve"> </w:t>
      </w:r>
      <w:r w:rsidR="00D73EFB" w:rsidRPr="008E75FC">
        <w:rPr>
          <w:rFonts w:asciiTheme="minorHAnsi" w:hAnsiTheme="minorHAnsi" w:cstheme="minorHAnsi"/>
          <w:sz w:val="22"/>
          <w:szCs w:val="22"/>
          <w:lang w:val="en-CA"/>
        </w:rPr>
        <w:t>for ISC was</w:t>
      </w:r>
      <w:r w:rsidRPr="008E75FC">
        <w:rPr>
          <w:rFonts w:asciiTheme="minorHAnsi" w:hAnsiTheme="minorHAnsi" w:cstheme="minorHAnsi"/>
          <w:sz w:val="22"/>
          <w:szCs w:val="22"/>
          <w:lang w:val="en-CA"/>
        </w:rPr>
        <w:t xml:space="preserve"> not input into the pay system until the end of September 2020. As a result, the organization </w:t>
      </w:r>
      <w:r w:rsidR="00C40D9B" w:rsidRPr="008E75FC">
        <w:rPr>
          <w:rFonts w:asciiTheme="minorHAnsi" w:hAnsiTheme="minorHAnsi" w:cstheme="minorHAnsi"/>
          <w:sz w:val="22"/>
          <w:szCs w:val="22"/>
          <w:lang w:val="en-CA"/>
        </w:rPr>
        <w:t xml:space="preserve">will </w:t>
      </w:r>
      <w:r w:rsidRPr="008E75FC">
        <w:rPr>
          <w:rFonts w:asciiTheme="minorHAnsi" w:hAnsiTheme="minorHAnsi" w:cstheme="minorHAnsi"/>
          <w:sz w:val="22"/>
          <w:szCs w:val="22"/>
          <w:lang w:val="en-CA"/>
        </w:rPr>
        <w:t>only</w:t>
      </w:r>
      <w:r w:rsidR="00C40D9B" w:rsidRPr="008E75FC">
        <w:rPr>
          <w:rFonts w:asciiTheme="minorHAnsi" w:hAnsiTheme="minorHAnsi" w:cstheme="minorHAnsi"/>
          <w:sz w:val="22"/>
          <w:szCs w:val="22"/>
          <w:lang w:val="en-CA"/>
        </w:rPr>
        <w:t xml:space="preserve"> be able to</w:t>
      </w:r>
      <w:r w:rsidRPr="008E75FC">
        <w:rPr>
          <w:rFonts w:asciiTheme="minorHAnsi" w:hAnsiTheme="minorHAnsi" w:cstheme="minorHAnsi"/>
          <w:sz w:val="22"/>
          <w:szCs w:val="22"/>
          <w:lang w:val="en-CA"/>
        </w:rPr>
        <w:t xml:space="preserve"> account for the representati</w:t>
      </w:r>
      <w:r w:rsidR="00030C43" w:rsidRPr="008E75FC">
        <w:rPr>
          <w:rFonts w:asciiTheme="minorHAnsi" w:hAnsiTheme="minorHAnsi" w:cstheme="minorHAnsi"/>
          <w:sz w:val="22"/>
          <w:szCs w:val="22"/>
          <w:lang w:val="en-CA"/>
        </w:rPr>
        <w:t>veness</w:t>
      </w:r>
      <w:r w:rsidRPr="008E75FC">
        <w:rPr>
          <w:rFonts w:asciiTheme="minorHAnsi" w:hAnsiTheme="minorHAnsi" w:cstheme="minorHAnsi"/>
          <w:sz w:val="22"/>
          <w:szCs w:val="22"/>
          <w:lang w:val="en-CA"/>
        </w:rPr>
        <w:t xml:space="preserve"> of under-represented employment equity groups as of fall 2021. However,</w:t>
      </w:r>
      <w:r w:rsidR="00C40D9B" w:rsidRPr="008E75FC">
        <w:rPr>
          <w:rFonts w:asciiTheme="minorHAnsi" w:hAnsiTheme="minorHAnsi" w:cstheme="minorHAnsi"/>
          <w:sz w:val="22"/>
          <w:szCs w:val="22"/>
          <w:lang w:val="en-CA"/>
        </w:rPr>
        <w:t xml:space="preserve"> the</w:t>
      </w:r>
      <w:r w:rsidRPr="008E75FC">
        <w:rPr>
          <w:rFonts w:asciiTheme="minorHAnsi" w:hAnsiTheme="minorHAnsi" w:cstheme="minorHAnsi"/>
          <w:sz w:val="22"/>
          <w:szCs w:val="22"/>
          <w:lang w:val="en-CA"/>
        </w:rPr>
        <w:t xml:space="preserve"> Indigenous statistic</w:t>
      </w:r>
      <w:r w:rsidR="00C40D9B" w:rsidRPr="008E75FC">
        <w:rPr>
          <w:rFonts w:asciiTheme="minorHAnsi" w:hAnsiTheme="minorHAnsi" w:cstheme="minorHAnsi"/>
          <w:sz w:val="22"/>
          <w:szCs w:val="22"/>
          <w:lang w:val="en-CA"/>
        </w:rPr>
        <w:t>s</w:t>
      </w:r>
      <w:r w:rsidRPr="008E75FC">
        <w:rPr>
          <w:rFonts w:asciiTheme="minorHAnsi" w:hAnsiTheme="minorHAnsi" w:cstheme="minorHAnsi"/>
          <w:sz w:val="22"/>
          <w:szCs w:val="22"/>
          <w:lang w:val="en-CA"/>
        </w:rPr>
        <w:t xml:space="preserve"> compil</w:t>
      </w:r>
      <w:r w:rsidR="00C40D9B" w:rsidRPr="008E75FC">
        <w:rPr>
          <w:rFonts w:asciiTheme="minorHAnsi" w:hAnsiTheme="minorHAnsi" w:cstheme="minorHAnsi"/>
          <w:sz w:val="22"/>
          <w:szCs w:val="22"/>
          <w:lang w:val="en-CA"/>
        </w:rPr>
        <w:t xml:space="preserve">ed using the voluntary self-identification form for ISC employees </w:t>
      </w:r>
      <w:r w:rsidR="003C3B6E" w:rsidRPr="008E75FC">
        <w:rPr>
          <w:rFonts w:asciiTheme="minorHAnsi" w:hAnsiTheme="minorHAnsi" w:cstheme="minorHAnsi"/>
          <w:sz w:val="22"/>
          <w:szCs w:val="22"/>
          <w:lang w:val="en-CA"/>
        </w:rPr>
        <w:t>indicate</w:t>
      </w:r>
      <w:r w:rsidR="00F62B60" w:rsidRPr="008E75FC">
        <w:rPr>
          <w:rFonts w:asciiTheme="minorHAnsi" w:hAnsiTheme="minorHAnsi" w:cstheme="minorHAnsi"/>
          <w:sz w:val="22"/>
          <w:szCs w:val="22"/>
          <w:lang w:val="en-CA"/>
        </w:rPr>
        <w:t xml:space="preserve"> very good </w:t>
      </w:r>
      <w:r w:rsidR="00C40D9B" w:rsidRPr="008E75FC">
        <w:rPr>
          <w:rFonts w:asciiTheme="minorHAnsi" w:hAnsiTheme="minorHAnsi" w:cstheme="minorHAnsi"/>
          <w:sz w:val="22"/>
          <w:szCs w:val="22"/>
          <w:lang w:val="en-CA"/>
        </w:rPr>
        <w:t xml:space="preserve">Indigenous representation. </w:t>
      </w:r>
    </w:p>
    <w:p w14:paraId="68F02D52" w14:textId="51CD177F" w:rsidR="009056CD" w:rsidRPr="008E75FC" w:rsidRDefault="009056CD" w:rsidP="009056CD">
      <w:pPr>
        <w:pStyle w:val="Caption"/>
        <w:keepNext/>
        <w:spacing w:after="0"/>
        <w:rPr>
          <w:rFonts w:asciiTheme="minorHAnsi" w:hAnsiTheme="minorHAnsi" w:cstheme="minorHAnsi"/>
          <w:i w:val="0"/>
          <w:color w:val="auto"/>
          <w:lang w:val="en-CA"/>
        </w:rPr>
      </w:pPr>
      <w:r w:rsidRPr="008E75FC">
        <w:rPr>
          <w:rFonts w:asciiTheme="minorHAnsi" w:hAnsiTheme="minorHAnsi" w:cstheme="minorHAnsi"/>
          <w:i w:val="0"/>
          <w:color w:val="auto"/>
          <w:lang w:val="en-CA"/>
        </w:rPr>
        <w:t xml:space="preserve">Table </w:t>
      </w:r>
      <w:r w:rsidRPr="008E75FC">
        <w:rPr>
          <w:rFonts w:asciiTheme="minorHAnsi" w:hAnsiTheme="minorHAnsi" w:cstheme="minorHAnsi"/>
          <w:i w:val="0"/>
          <w:color w:val="auto"/>
          <w:lang w:val="en-CA"/>
        </w:rPr>
        <w:fldChar w:fldCharType="begin"/>
      </w:r>
      <w:r w:rsidRPr="008E75FC">
        <w:rPr>
          <w:rFonts w:asciiTheme="minorHAnsi" w:hAnsiTheme="minorHAnsi" w:cstheme="minorHAnsi"/>
          <w:i w:val="0"/>
          <w:color w:val="auto"/>
          <w:lang w:val="en-CA"/>
        </w:rPr>
        <w:instrText xml:space="preserve"> SEQ Table \* ARABIC </w:instrText>
      </w:r>
      <w:r w:rsidRPr="008E75FC">
        <w:rPr>
          <w:rFonts w:asciiTheme="minorHAnsi" w:hAnsiTheme="minorHAnsi" w:cstheme="minorHAnsi"/>
          <w:i w:val="0"/>
          <w:color w:val="auto"/>
          <w:lang w:val="en-CA"/>
        </w:rPr>
        <w:fldChar w:fldCharType="separate"/>
      </w:r>
      <w:r w:rsidR="006632C2" w:rsidRPr="008E75FC">
        <w:rPr>
          <w:rFonts w:asciiTheme="minorHAnsi" w:hAnsiTheme="minorHAnsi" w:cstheme="minorHAnsi"/>
          <w:i w:val="0"/>
          <w:noProof/>
          <w:color w:val="auto"/>
          <w:lang w:val="en-CA"/>
        </w:rPr>
        <w:t>2</w:t>
      </w:r>
      <w:r w:rsidRPr="008E75FC">
        <w:rPr>
          <w:rFonts w:asciiTheme="minorHAnsi" w:hAnsiTheme="minorHAnsi" w:cstheme="minorHAnsi"/>
          <w:i w:val="0"/>
          <w:color w:val="auto"/>
          <w:lang w:val="en-CA"/>
        </w:rPr>
        <w:fldChar w:fldCharType="end"/>
      </w:r>
      <w:r w:rsidRPr="008E75FC">
        <w:rPr>
          <w:rFonts w:asciiTheme="minorHAnsi" w:hAnsiTheme="minorHAnsi" w:cstheme="minorHAnsi"/>
          <w:i w:val="0"/>
          <w:color w:val="auto"/>
          <w:lang w:val="en-CA"/>
        </w:rPr>
        <w:t xml:space="preserve"> - Diversity </w:t>
      </w:r>
      <w:r w:rsidR="00E54EDE">
        <w:rPr>
          <w:rFonts w:asciiTheme="minorHAnsi" w:hAnsiTheme="minorHAnsi" w:cstheme="minorHAnsi"/>
          <w:i w:val="0"/>
          <w:color w:val="auto"/>
          <w:lang w:val="en-CA"/>
        </w:rPr>
        <w:t>P</w:t>
      </w:r>
      <w:r w:rsidRPr="008E75FC">
        <w:rPr>
          <w:rFonts w:asciiTheme="minorHAnsi" w:hAnsiTheme="minorHAnsi" w:cstheme="minorHAnsi"/>
          <w:i w:val="0"/>
          <w:color w:val="auto"/>
          <w:lang w:val="en-CA"/>
        </w:rPr>
        <w:t>rofile</w:t>
      </w:r>
    </w:p>
    <w:tbl>
      <w:tblPr>
        <w:tblStyle w:val="TableGrid"/>
        <w:tblW w:w="0" w:type="auto"/>
        <w:jc w:val="center"/>
        <w:tblLook w:val="04A0" w:firstRow="1" w:lastRow="0" w:firstColumn="1" w:lastColumn="0" w:noHBand="0" w:noVBand="1"/>
        <w:tblDescription w:val="Diversity Profile"/>
      </w:tblPr>
      <w:tblGrid>
        <w:gridCol w:w="2488"/>
        <w:gridCol w:w="2464"/>
        <w:gridCol w:w="2481"/>
        <w:gridCol w:w="2637"/>
      </w:tblGrid>
      <w:tr w:rsidR="009056CD" w:rsidRPr="008E75FC" w14:paraId="5093F253" w14:textId="77777777" w:rsidTr="005D2C19">
        <w:trPr>
          <w:cantSplit/>
          <w:trHeight w:val="1022"/>
          <w:tblHeader/>
          <w:jc w:val="center"/>
        </w:trPr>
        <w:tc>
          <w:tcPr>
            <w:tcW w:w="2488" w:type="dxa"/>
            <w:shd w:val="clear" w:color="auto" w:fill="54575A" w:themeFill="text1"/>
            <w:hideMark/>
          </w:tcPr>
          <w:p w14:paraId="0B923DA2" w14:textId="77777777" w:rsidR="009056CD" w:rsidRPr="008E75FC" w:rsidRDefault="009056CD" w:rsidP="009056CD">
            <w:pPr>
              <w:pStyle w:val="TableTitle"/>
              <w:rPr>
                <w:color w:val="FFFFFF" w:themeColor="background1"/>
                <w:sz w:val="22"/>
                <w:lang w:val="en-CA"/>
              </w:rPr>
            </w:pPr>
            <w:r w:rsidRPr="008E75FC">
              <w:rPr>
                <w:color w:val="FFFFFF" w:themeColor="background1"/>
                <w:sz w:val="22"/>
                <w:lang w:val="en-CA"/>
              </w:rPr>
              <w:t>Designated Group</w:t>
            </w:r>
          </w:p>
        </w:tc>
        <w:tc>
          <w:tcPr>
            <w:tcW w:w="2464" w:type="dxa"/>
            <w:shd w:val="clear" w:color="auto" w:fill="54575A" w:themeFill="text1"/>
            <w:hideMark/>
          </w:tcPr>
          <w:p w14:paraId="04532594" w14:textId="77777777" w:rsidR="009056CD" w:rsidRPr="008E75FC" w:rsidRDefault="009056CD" w:rsidP="009056CD">
            <w:pPr>
              <w:pStyle w:val="TableTitle"/>
              <w:rPr>
                <w:color w:val="FFFFFF" w:themeColor="background1"/>
                <w:sz w:val="22"/>
                <w:lang w:val="en-CA"/>
              </w:rPr>
            </w:pPr>
            <w:r w:rsidRPr="008E75FC">
              <w:rPr>
                <w:color w:val="FFFFFF" w:themeColor="background1"/>
                <w:sz w:val="22"/>
                <w:lang w:val="en-CA"/>
              </w:rPr>
              <w:t>Public Service Work Force Availability (WFA)</w:t>
            </w:r>
          </w:p>
        </w:tc>
        <w:tc>
          <w:tcPr>
            <w:tcW w:w="2481" w:type="dxa"/>
            <w:shd w:val="clear" w:color="auto" w:fill="BF3C00"/>
            <w:hideMark/>
          </w:tcPr>
          <w:p w14:paraId="04D55B50" w14:textId="77777777" w:rsidR="009056CD" w:rsidRPr="008E75FC" w:rsidRDefault="009056CD" w:rsidP="009056CD">
            <w:pPr>
              <w:pStyle w:val="TableTitle"/>
              <w:rPr>
                <w:color w:val="FFFFFF" w:themeColor="background1"/>
                <w:sz w:val="22"/>
                <w:lang w:val="en-CA"/>
              </w:rPr>
            </w:pPr>
            <w:r w:rsidRPr="008E75FC">
              <w:rPr>
                <w:color w:val="FFFFFF" w:themeColor="background1"/>
                <w:sz w:val="22"/>
                <w:lang w:val="en-CA"/>
              </w:rPr>
              <w:t>Indigenous Services  Canada</w:t>
            </w:r>
          </w:p>
        </w:tc>
        <w:tc>
          <w:tcPr>
            <w:tcW w:w="2637" w:type="dxa"/>
            <w:shd w:val="clear" w:color="auto" w:fill="54575A" w:themeFill="text1"/>
            <w:hideMark/>
          </w:tcPr>
          <w:p w14:paraId="081CB68D" w14:textId="77777777" w:rsidR="009056CD" w:rsidRPr="008E75FC" w:rsidRDefault="009056CD" w:rsidP="009056CD">
            <w:pPr>
              <w:pStyle w:val="TableTitle"/>
              <w:rPr>
                <w:color w:val="FFFFFF" w:themeColor="background1"/>
                <w:sz w:val="22"/>
                <w:lang w:val="en-CA"/>
              </w:rPr>
            </w:pPr>
            <w:r w:rsidRPr="008E75FC">
              <w:rPr>
                <w:color w:val="FFFFFF" w:themeColor="background1"/>
                <w:sz w:val="22"/>
                <w:lang w:val="en-CA"/>
              </w:rPr>
              <w:t>Representation across the Public Service of Canada</w:t>
            </w:r>
          </w:p>
        </w:tc>
      </w:tr>
      <w:tr w:rsidR="009056CD" w:rsidRPr="008E75FC" w14:paraId="1B39CA31" w14:textId="77777777" w:rsidTr="005D2C19">
        <w:trPr>
          <w:cantSplit/>
          <w:tblHeader/>
          <w:jc w:val="center"/>
        </w:trPr>
        <w:tc>
          <w:tcPr>
            <w:tcW w:w="2488" w:type="dxa"/>
            <w:shd w:val="clear" w:color="auto" w:fill="54575A" w:themeFill="text1"/>
            <w:hideMark/>
          </w:tcPr>
          <w:p w14:paraId="56C42F58" w14:textId="77777777" w:rsidR="009056CD" w:rsidRPr="008E75FC" w:rsidRDefault="009056CD" w:rsidP="00775CE4">
            <w:pPr>
              <w:rPr>
                <w:rFonts w:asciiTheme="minorHAnsi" w:hAnsiTheme="minorHAnsi" w:cstheme="minorHAnsi"/>
                <w:color w:val="FFFFFF" w:themeColor="background1"/>
                <w:sz w:val="22"/>
                <w:lang w:val="en-CA"/>
              </w:rPr>
            </w:pPr>
            <w:r w:rsidRPr="008E75FC">
              <w:rPr>
                <w:rFonts w:asciiTheme="minorHAnsi" w:hAnsiTheme="minorHAnsi" w:cstheme="minorHAnsi"/>
                <w:color w:val="FFFFFF" w:themeColor="background1"/>
                <w:sz w:val="22"/>
                <w:lang w:val="en-CA"/>
              </w:rPr>
              <w:t>Women</w:t>
            </w:r>
          </w:p>
        </w:tc>
        <w:tc>
          <w:tcPr>
            <w:tcW w:w="2464" w:type="dxa"/>
            <w:hideMark/>
          </w:tcPr>
          <w:p w14:paraId="3F5930F7" w14:textId="77777777" w:rsidR="009056CD" w:rsidRPr="008E75FC" w:rsidRDefault="009056CD" w:rsidP="00775CE4">
            <w:pPr>
              <w:jc w:val="center"/>
              <w:rPr>
                <w:rFonts w:asciiTheme="minorHAnsi" w:hAnsiTheme="minorHAnsi" w:cstheme="minorHAnsi"/>
                <w:sz w:val="22"/>
                <w:lang w:val="en-CA"/>
              </w:rPr>
            </w:pPr>
            <w:r w:rsidRPr="008E75FC">
              <w:rPr>
                <w:rFonts w:asciiTheme="minorHAnsi" w:hAnsiTheme="minorHAnsi" w:cstheme="minorHAnsi"/>
                <w:sz w:val="22"/>
                <w:lang w:val="en-CA"/>
              </w:rPr>
              <w:t>52.7%</w:t>
            </w:r>
          </w:p>
        </w:tc>
        <w:tc>
          <w:tcPr>
            <w:tcW w:w="2481" w:type="dxa"/>
          </w:tcPr>
          <w:p w14:paraId="5BB84015" w14:textId="77777777" w:rsidR="009056CD" w:rsidRPr="008E75FC" w:rsidRDefault="009056CD" w:rsidP="00775CE4">
            <w:pPr>
              <w:autoSpaceDE w:val="0"/>
              <w:autoSpaceDN w:val="0"/>
              <w:spacing w:before="120"/>
              <w:jc w:val="center"/>
              <w:rPr>
                <w:rFonts w:asciiTheme="minorHAnsi" w:hAnsiTheme="minorHAnsi" w:cstheme="minorHAnsi"/>
                <w:sz w:val="22"/>
                <w:lang w:val="en-CA"/>
              </w:rPr>
            </w:pPr>
            <w:r w:rsidRPr="008E75FC">
              <w:rPr>
                <w:rFonts w:asciiTheme="minorHAnsi" w:hAnsiTheme="minorHAnsi" w:cstheme="minorHAnsi"/>
                <w:sz w:val="22"/>
                <w:lang w:val="en-CA"/>
              </w:rPr>
              <w:t>No data available*</w:t>
            </w:r>
          </w:p>
        </w:tc>
        <w:tc>
          <w:tcPr>
            <w:tcW w:w="2637" w:type="dxa"/>
            <w:hideMark/>
          </w:tcPr>
          <w:p w14:paraId="467F42FD" w14:textId="77777777" w:rsidR="009056CD" w:rsidRPr="008E75FC" w:rsidRDefault="009056CD" w:rsidP="00775CE4">
            <w:pPr>
              <w:autoSpaceDE w:val="0"/>
              <w:autoSpaceDN w:val="0"/>
              <w:spacing w:before="120"/>
              <w:jc w:val="center"/>
              <w:rPr>
                <w:rFonts w:asciiTheme="minorHAnsi" w:hAnsiTheme="minorHAnsi" w:cstheme="minorHAnsi"/>
                <w:sz w:val="22"/>
                <w:lang w:val="en-CA"/>
              </w:rPr>
            </w:pPr>
            <w:r w:rsidRPr="008E75FC">
              <w:rPr>
                <w:rFonts w:asciiTheme="minorHAnsi" w:hAnsiTheme="minorHAnsi" w:cstheme="minorHAnsi"/>
                <w:sz w:val="22"/>
                <w:lang w:val="en-CA"/>
              </w:rPr>
              <w:t>54.8%</w:t>
            </w:r>
          </w:p>
        </w:tc>
      </w:tr>
      <w:tr w:rsidR="009056CD" w:rsidRPr="008E75FC" w14:paraId="23F9023A" w14:textId="77777777" w:rsidTr="005D2C19">
        <w:trPr>
          <w:cantSplit/>
          <w:tblHeader/>
          <w:jc w:val="center"/>
        </w:trPr>
        <w:tc>
          <w:tcPr>
            <w:tcW w:w="2488" w:type="dxa"/>
            <w:shd w:val="clear" w:color="auto" w:fill="54575A" w:themeFill="text1"/>
            <w:hideMark/>
          </w:tcPr>
          <w:p w14:paraId="130E6AF5" w14:textId="77777777" w:rsidR="009056CD" w:rsidRPr="008E75FC" w:rsidRDefault="009056CD" w:rsidP="00775CE4">
            <w:pPr>
              <w:rPr>
                <w:rFonts w:asciiTheme="minorHAnsi" w:hAnsiTheme="minorHAnsi" w:cstheme="minorHAnsi"/>
                <w:color w:val="FFFFFF" w:themeColor="background1"/>
                <w:sz w:val="22"/>
                <w:lang w:val="en-CA"/>
              </w:rPr>
            </w:pPr>
            <w:r w:rsidRPr="008E75FC">
              <w:rPr>
                <w:rFonts w:asciiTheme="minorHAnsi" w:hAnsiTheme="minorHAnsi" w:cstheme="minorHAnsi"/>
                <w:color w:val="FFFFFF" w:themeColor="background1"/>
                <w:sz w:val="22"/>
                <w:lang w:val="en-CA"/>
              </w:rPr>
              <w:t>Aboriginal Peoples</w:t>
            </w:r>
          </w:p>
        </w:tc>
        <w:tc>
          <w:tcPr>
            <w:tcW w:w="2464" w:type="dxa"/>
            <w:hideMark/>
          </w:tcPr>
          <w:p w14:paraId="2B29F27A" w14:textId="77777777" w:rsidR="009056CD" w:rsidRPr="008E75FC" w:rsidRDefault="009056CD" w:rsidP="00775CE4">
            <w:pPr>
              <w:jc w:val="center"/>
              <w:rPr>
                <w:rFonts w:asciiTheme="minorHAnsi" w:hAnsiTheme="minorHAnsi" w:cstheme="minorHAnsi"/>
                <w:sz w:val="22"/>
                <w:lang w:val="en-CA"/>
              </w:rPr>
            </w:pPr>
            <w:r w:rsidRPr="008E75FC">
              <w:rPr>
                <w:rFonts w:asciiTheme="minorHAnsi" w:hAnsiTheme="minorHAnsi" w:cstheme="minorHAnsi"/>
                <w:sz w:val="22"/>
                <w:lang w:val="en-CA"/>
              </w:rPr>
              <w:t>4.0%</w:t>
            </w:r>
          </w:p>
        </w:tc>
        <w:tc>
          <w:tcPr>
            <w:tcW w:w="2481" w:type="dxa"/>
          </w:tcPr>
          <w:p w14:paraId="0347F203" w14:textId="1B3BE059" w:rsidR="009056CD" w:rsidRPr="008E75FC" w:rsidRDefault="009056CD" w:rsidP="00775CE4">
            <w:pPr>
              <w:autoSpaceDE w:val="0"/>
              <w:autoSpaceDN w:val="0"/>
              <w:spacing w:before="120"/>
              <w:jc w:val="center"/>
              <w:rPr>
                <w:rFonts w:asciiTheme="minorHAnsi" w:hAnsiTheme="minorHAnsi" w:cstheme="minorHAnsi"/>
                <w:sz w:val="22"/>
                <w:lang w:val="en-CA"/>
              </w:rPr>
            </w:pPr>
            <w:r w:rsidRPr="008E75FC">
              <w:rPr>
                <w:rFonts w:asciiTheme="minorHAnsi" w:hAnsiTheme="minorHAnsi" w:cstheme="minorHAnsi"/>
                <w:sz w:val="22"/>
                <w:lang w:val="en-CA"/>
              </w:rPr>
              <w:t>29.4%**</w:t>
            </w:r>
          </w:p>
        </w:tc>
        <w:tc>
          <w:tcPr>
            <w:tcW w:w="2637" w:type="dxa"/>
            <w:hideMark/>
          </w:tcPr>
          <w:p w14:paraId="7A1C1FB3" w14:textId="77777777" w:rsidR="009056CD" w:rsidRPr="008E75FC" w:rsidRDefault="009056CD" w:rsidP="00775CE4">
            <w:pPr>
              <w:autoSpaceDE w:val="0"/>
              <w:autoSpaceDN w:val="0"/>
              <w:spacing w:before="120"/>
              <w:jc w:val="center"/>
              <w:rPr>
                <w:rFonts w:asciiTheme="minorHAnsi" w:hAnsiTheme="minorHAnsi" w:cstheme="minorHAnsi"/>
                <w:sz w:val="22"/>
                <w:lang w:val="en-CA"/>
              </w:rPr>
            </w:pPr>
            <w:r w:rsidRPr="008E75FC">
              <w:rPr>
                <w:rFonts w:asciiTheme="minorHAnsi" w:hAnsiTheme="minorHAnsi" w:cstheme="minorHAnsi"/>
                <w:sz w:val="22"/>
                <w:lang w:val="en-CA"/>
              </w:rPr>
              <w:t>5.1%</w:t>
            </w:r>
          </w:p>
        </w:tc>
      </w:tr>
      <w:tr w:rsidR="009056CD" w:rsidRPr="008E75FC" w14:paraId="253E3342" w14:textId="77777777" w:rsidTr="005D2C19">
        <w:trPr>
          <w:cantSplit/>
          <w:trHeight w:val="598"/>
          <w:tblHeader/>
          <w:jc w:val="center"/>
        </w:trPr>
        <w:tc>
          <w:tcPr>
            <w:tcW w:w="2488" w:type="dxa"/>
            <w:shd w:val="clear" w:color="auto" w:fill="54575A" w:themeFill="text1"/>
            <w:hideMark/>
          </w:tcPr>
          <w:p w14:paraId="22D740B7" w14:textId="77777777" w:rsidR="009056CD" w:rsidRPr="008E75FC" w:rsidRDefault="009056CD" w:rsidP="00775CE4">
            <w:pPr>
              <w:spacing w:before="240"/>
              <w:rPr>
                <w:rFonts w:asciiTheme="minorHAnsi" w:hAnsiTheme="minorHAnsi" w:cstheme="minorHAnsi"/>
                <w:color w:val="FFFFFF" w:themeColor="background1"/>
                <w:sz w:val="22"/>
                <w:lang w:val="en-CA"/>
              </w:rPr>
            </w:pPr>
            <w:r w:rsidRPr="008E75FC">
              <w:rPr>
                <w:rFonts w:asciiTheme="minorHAnsi" w:hAnsiTheme="minorHAnsi" w:cstheme="minorHAnsi"/>
                <w:color w:val="FFFFFF" w:themeColor="background1"/>
                <w:sz w:val="22"/>
                <w:lang w:val="en-CA"/>
              </w:rPr>
              <w:t>Persons with Disabilities</w:t>
            </w:r>
          </w:p>
        </w:tc>
        <w:tc>
          <w:tcPr>
            <w:tcW w:w="2464" w:type="dxa"/>
            <w:hideMark/>
          </w:tcPr>
          <w:p w14:paraId="36DA778F" w14:textId="77777777" w:rsidR="009056CD" w:rsidRPr="008E75FC" w:rsidRDefault="009056CD" w:rsidP="00775CE4">
            <w:pPr>
              <w:spacing w:before="240"/>
              <w:jc w:val="center"/>
              <w:rPr>
                <w:rFonts w:asciiTheme="minorHAnsi" w:hAnsiTheme="minorHAnsi" w:cstheme="minorHAnsi"/>
                <w:sz w:val="22"/>
                <w:lang w:val="en-CA"/>
              </w:rPr>
            </w:pPr>
            <w:r w:rsidRPr="008E75FC">
              <w:rPr>
                <w:rFonts w:asciiTheme="minorHAnsi" w:hAnsiTheme="minorHAnsi" w:cstheme="minorHAnsi"/>
                <w:sz w:val="22"/>
                <w:lang w:val="en-CA"/>
              </w:rPr>
              <w:t>9.0%</w:t>
            </w:r>
          </w:p>
        </w:tc>
        <w:tc>
          <w:tcPr>
            <w:tcW w:w="2481" w:type="dxa"/>
          </w:tcPr>
          <w:p w14:paraId="762982EF" w14:textId="77777777" w:rsidR="009056CD" w:rsidRPr="008E75FC" w:rsidRDefault="009056CD" w:rsidP="00775CE4">
            <w:pPr>
              <w:spacing w:before="240"/>
              <w:jc w:val="center"/>
              <w:rPr>
                <w:rFonts w:asciiTheme="minorHAnsi" w:hAnsiTheme="minorHAnsi" w:cstheme="minorHAnsi"/>
                <w:sz w:val="22"/>
                <w:lang w:val="en-CA"/>
              </w:rPr>
            </w:pPr>
            <w:r w:rsidRPr="008E75FC">
              <w:rPr>
                <w:rFonts w:asciiTheme="minorHAnsi" w:hAnsiTheme="minorHAnsi" w:cstheme="minorHAnsi"/>
                <w:sz w:val="22"/>
                <w:lang w:val="en-CA"/>
              </w:rPr>
              <w:t>No data available*</w:t>
            </w:r>
          </w:p>
        </w:tc>
        <w:tc>
          <w:tcPr>
            <w:tcW w:w="2637" w:type="dxa"/>
            <w:hideMark/>
          </w:tcPr>
          <w:p w14:paraId="319110CC" w14:textId="77777777" w:rsidR="009056CD" w:rsidRPr="008E75FC" w:rsidRDefault="009056CD" w:rsidP="00775CE4">
            <w:pPr>
              <w:autoSpaceDE w:val="0"/>
              <w:autoSpaceDN w:val="0"/>
              <w:spacing w:before="240"/>
              <w:jc w:val="center"/>
              <w:rPr>
                <w:rFonts w:asciiTheme="minorHAnsi" w:hAnsiTheme="minorHAnsi" w:cstheme="minorHAnsi"/>
                <w:sz w:val="22"/>
                <w:lang w:val="en-CA"/>
              </w:rPr>
            </w:pPr>
            <w:r w:rsidRPr="008E75FC">
              <w:rPr>
                <w:rFonts w:asciiTheme="minorHAnsi" w:hAnsiTheme="minorHAnsi" w:cstheme="minorHAnsi"/>
                <w:sz w:val="22"/>
                <w:lang w:val="en-CA"/>
              </w:rPr>
              <w:t>5.2%</w:t>
            </w:r>
          </w:p>
        </w:tc>
      </w:tr>
      <w:tr w:rsidR="009056CD" w:rsidRPr="008E75FC" w14:paraId="2FD397E6" w14:textId="77777777" w:rsidTr="005D2C19">
        <w:trPr>
          <w:cantSplit/>
          <w:tblHeader/>
          <w:jc w:val="center"/>
        </w:trPr>
        <w:tc>
          <w:tcPr>
            <w:tcW w:w="2488" w:type="dxa"/>
            <w:shd w:val="clear" w:color="auto" w:fill="54575A" w:themeFill="text1"/>
            <w:hideMark/>
          </w:tcPr>
          <w:p w14:paraId="5E4139F3" w14:textId="77777777" w:rsidR="009056CD" w:rsidRPr="008E75FC" w:rsidRDefault="009056CD" w:rsidP="00775CE4">
            <w:pPr>
              <w:spacing w:before="240"/>
              <w:rPr>
                <w:rFonts w:asciiTheme="minorHAnsi" w:hAnsiTheme="minorHAnsi" w:cstheme="minorHAnsi"/>
                <w:color w:val="FFFFFF" w:themeColor="background1"/>
                <w:sz w:val="22"/>
                <w:lang w:val="en-CA"/>
              </w:rPr>
            </w:pPr>
            <w:r w:rsidRPr="008E75FC">
              <w:rPr>
                <w:rFonts w:asciiTheme="minorHAnsi" w:hAnsiTheme="minorHAnsi" w:cstheme="minorHAnsi"/>
                <w:color w:val="FFFFFF" w:themeColor="background1"/>
                <w:sz w:val="22"/>
                <w:lang w:val="en-CA"/>
              </w:rPr>
              <w:t>Members of Visible Minority</w:t>
            </w:r>
          </w:p>
        </w:tc>
        <w:tc>
          <w:tcPr>
            <w:tcW w:w="2464" w:type="dxa"/>
            <w:hideMark/>
          </w:tcPr>
          <w:p w14:paraId="07590A5B" w14:textId="77777777" w:rsidR="009056CD" w:rsidRPr="008E75FC" w:rsidRDefault="009056CD" w:rsidP="00775CE4">
            <w:pPr>
              <w:spacing w:before="240"/>
              <w:jc w:val="center"/>
              <w:rPr>
                <w:rFonts w:asciiTheme="minorHAnsi" w:hAnsiTheme="minorHAnsi" w:cstheme="minorHAnsi"/>
                <w:sz w:val="22"/>
                <w:lang w:val="en-CA"/>
              </w:rPr>
            </w:pPr>
            <w:r w:rsidRPr="008E75FC">
              <w:rPr>
                <w:rFonts w:asciiTheme="minorHAnsi" w:hAnsiTheme="minorHAnsi" w:cstheme="minorHAnsi"/>
                <w:sz w:val="22"/>
                <w:lang w:val="en-CA"/>
              </w:rPr>
              <w:t>15.3%</w:t>
            </w:r>
          </w:p>
        </w:tc>
        <w:tc>
          <w:tcPr>
            <w:tcW w:w="2481" w:type="dxa"/>
          </w:tcPr>
          <w:p w14:paraId="7DEEE7D2" w14:textId="77777777" w:rsidR="009056CD" w:rsidRPr="008E75FC" w:rsidRDefault="009056CD" w:rsidP="00775CE4">
            <w:pPr>
              <w:spacing w:before="240"/>
              <w:jc w:val="center"/>
              <w:rPr>
                <w:rFonts w:asciiTheme="minorHAnsi" w:hAnsiTheme="minorHAnsi" w:cstheme="minorHAnsi"/>
                <w:sz w:val="22"/>
                <w:lang w:val="en-CA"/>
              </w:rPr>
            </w:pPr>
            <w:r w:rsidRPr="008E75FC">
              <w:rPr>
                <w:rFonts w:asciiTheme="minorHAnsi" w:hAnsiTheme="minorHAnsi" w:cstheme="minorHAnsi"/>
                <w:sz w:val="22"/>
                <w:lang w:val="en-CA"/>
              </w:rPr>
              <w:t>No data available*</w:t>
            </w:r>
          </w:p>
        </w:tc>
        <w:tc>
          <w:tcPr>
            <w:tcW w:w="2637" w:type="dxa"/>
            <w:hideMark/>
          </w:tcPr>
          <w:p w14:paraId="51406E48" w14:textId="77777777" w:rsidR="009056CD" w:rsidRPr="008E75FC" w:rsidRDefault="009056CD" w:rsidP="00775CE4">
            <w:pPr>
              <w:autoSpaceDE w:val="0"/>
              <w:autoSpaceDN w:val="0"/>
              <w:spacing w:before="240"/>
              <w:jc w:val="center"/>
              <w:rPr>
                <w:rFonts w:asciiTheme="minorHAnsi" w:hAnsiTheme="minorHAnsi" w:cstheme="minorHAnsi"/>
                <w:sz w:val="22"/>
                <w:lang w:val="en-CA"/>
              </w:rPr>
            </w:pPr>
            <w:r w:rsidRPr="008E75FC">
              <w:rPr>
                <w:rFonts w:asciiTheme="minorHAnsi" w:hAnsiTheme="minorHAnsi" w:cstheme="minorHAnsi"/>
                <w:sz w:val="22"/>
                <w:lang w:val="en-CA"/>
              </w:rPr>
              <w:t>16.7%</w:t>
            </w:r>
          </w:p>
        </w:tc>
      </w:tr>
    </w:tbl>
    <w:p w14:paraId="637720EE" w14:textId="77777777" w:rsidR="009056CD" w:rsidRPr="008E75FC" w:rsidRDefault="009056CD" w:rsidP="009056CD">
      <w:pPr>
        <w:rPr>
          <w:rFonts w:asciiTheme="minorHAnsi" w:hAnsiTheme="minorHAnsi" w:cstheme="minorHAnsi"/>
          <w:sz w:val="22"/>
          <w:szCs w:val="22"/>
          <w:lang w:val="en-CA"/>
        </w:rPr>
      </w:pPr>
      <w:r w:rsidRPr="008E75FC">
        <w:rPr>
          <w:rFonts w:asciiTheme="minorHAnsi" w:hAnsiTheme="minorHAnsi" w:cstheme="minorHAnsi"/>
          <w:sz w:val="22"/>
          <w:szCs w:val="22"/>
          <w:lang w:val="en-CA"/>
        </w:rPr>
        <w:t>Sources:</w:t>
      </w:r>
    </w:p>
    <w:p w14:paraId="6C372426" w14:textId="77777777" w:rsidR="009056CD" w:rsidRPr="008E75FC" w:rsidRDefault="009056CD" w:rsidP="009056CD">
      <w:pPr>
        <w:keepLines/>
        <w:tabs>
          <w:tab w:val="left" w:pos="1707"/>
        </w:tabs>
        <w:rPr>
          <w:rFonts w:asciiTheme="minorHAnsi" w:eastAsia="Calibri" w:hAnsiTheme="minorHAnsi" w:cstheme="minorHAnsi"/>
          <w:sz w:val="22"/>
          <w:szCs w:val="22"/>
          <w:lang w:val="en-CA"/>
        </w:rPr>
      </w:pPr>
      <w:r w:rsidRPr="008E75FC">
        <w:rPr>
          <w:rFonts w:asciiTheme="minorHAnsi" w:eastAsia="Calibri" w:hAnsiTheme="minorHAnsi" w:cstheme="minorHAnsi"/>
          <w:sz w:val="22"/>
          <w:szCs w:val="22"/>
          <w:lang w:val="en-CA"/>
        </w:rPr>
        <w:t>*</w:t>
      </w:r>
      <w:hyperlink r:id="rId11" w:history="1">
        <w:r w:rsidRPr="008E75FC">
          <w:rPr>
            <w:rFonts w:asciiTheme="minorHAnsi" w:eastAsia="Calibri" w:hAnsiTheme="minorHAnsi" w:cstheme="minorHAnsi"/>
            <w:color w:val="0563C1"/>
            <w:sz w:val="22"/>
            <w:szCs w:val="22"/>
            <w:u w:val="single"/>
            <w:lang w:val="en-CA"/>
          </w:rPr>
          <w:t>Employment Equity in the Public Service of Canada 2018-2019</w:t>
        </w:r>
      </w:hyperlink>
      <w:r w:rsidRPr="008E75FC">
        <w:rPr>
          <w:rFonts w:asciiTheme="minorHAnsi" w:hAnsiTheme="minorHAnsi" w:cstheme="minorHAnsi"/>
          <w:sz w:val="22"/>
          <w:szCs w:val="22"/>
          <w:lang w:val="en-CA"/>
        </w:rPr>
        <w:t xml:space="preserve">, Treasury Board Secretariat – Indigenous Services Canada </w:t>
      </w:r>
      <w:r w:rsidRPr="008E75FC">
        <w:rPr>
          <w:rFonts w:asciiTheme="minorHAnsi" w:hAnsiTheme="minorHAnsi" w:cstheme="minorHAnsi"/>
          <w:color w:val="202124"/>
          <w:sz w:val="22"/>
          <w:szCs w:val="22"/>
          <w:lang w:val="en-CA"/>
        </w:rPr>
        <w:t>was created and transferred at the end of September 2020 into the pay system. The organization will not report on its employment equity representation until fall 2021.</w:t>
      </w:r>
    </w:p>
    <w:p w14:paraId="1A72AFE8" w14:textId="77777777" w:rsidR="009056CD" w:rsidRPr="008E75FC" w:rsidRDefault="009056CD" w:rsidP="009056CD">
      <w:pPr>
        <w:rPr>
          <w:rFonts w:asciiTheme="minorHAnsi" w:hAnsiTheme="minorHAnsi" w:cstheme="minorHAnsi"/>
          <w:color w:val="202124"/>
          <w:sz w:val="22"/>
          <w:szCs w:val="22"/>
          <w:lang w:val="en-CA"/>
        </w:rPr>
      </w:pPr>
      <w:r w:rsidRPr="008E75FC">
        <w:rPr>
          <w:rFonts w:asciiTheme="minorHAnsi" w:hAnsiTheme="minorHAnsi" w:cstheme="minorHAnsi"/>
          <w:sz w:val="22"/>
          <w:szCs w:val="22"/>
          <w:lang w:val="en-CA"/>
        </w:rPr>
        <w:t>**</w:t>
      </w:r>
      <w:hyperlink r:id="rId12" w:history="1">
        <w:r w:rsidRPr="008E75FC">
          <w:rPr>
            <w:rStyle w:val="Hyperlink"/>
            <w:rFonts w:asciiTheme="minorHAnsi" w:hAnsiTheme="minorHAnsi" w:cstheme="minorHAnsi"/>
            <w:sz w:val="22"/>
            <w:szCs w:val="22"/>
            <w:lang w:val="en-CA"/>
          </w:rPr>
          <w:t>Indigenous Services Canada: 2018 to 2019 Departmental Results Report</w:t>
        </w:r>
      </w:hyperlink>
      <w:r w:rsidRPr="008E75FC">
        <w:rPr>
          <w:rFonts w:asciiTheme="minorHAnsi" w:hAnsiTheme="minorHAnsi" w:cstheme="minorHAnsi"/>
          <w:sz w:val="22"/>
          <w:szCs w:val="22"/>
          <w:lang w:val="en-CA"/>
        </w:rPr>
        <w:t xml:space="preserve"> – Statistics on </w:t>
      </w:r>
      <w:r w:rsidRPr="008E75FC">
        <w:rPr>
          <w:rFonts w:asciiTheme="minorHAnsi" w:hAnsiTheme="minorHAnsi" w:cstheme="minorHAnsi"/>
          <w:color w:val="202124"/>
          <w:sz w:val="22"/>
          <w:szCs w:val="22"/>
          <w:lang w:val="en-CA"/>
        </w:rPr>
        <w:t>Aboriginal Peoples were compiled using ISC’s employees self-identification form; no information was provided regarding other designated groups.</w:t>
      </w:r>
    </w:p>
    <w:p w14:paraId="03D23DD4" w14:textId="77777777" w:rsidR="009056CD" w:rsidRPr="008E75FC" w:rsidRDefault="009056CD" w:rsidP="009056CD">
      <w:pPr>
        <w:pStyle w:val="Heading2"/>
        <w:spacing w:after="120"/>
        <w:rPr>
          <w:lang w:val="en-CA"/>
        </w:rPr>
      </w:pPr>
      <w:r w:rsidRPr="008E75FC">
        <w:rPr>
          <w:lang w:val="en-CA"/>
        </w:rPr>
        <w:t>Strategies</w:t>
      </w:r>
    </w:p>
    <w:p w14:paraId="5A298F28" w14:textId="1B1D003E" w:rsidR="007D069C" w:rsidRPr="008E75FC" w:rsidRDefault="00C40D9B" w:rsidP="007D069C">
      <w:pPr>
        <w:rPr>
          <w:rFonts w:asciiTheme="minorHAnsi" w:hAnsiTheme="minorHAnsi" w:cstheme="minorHAnsi"/>
          <w:sz w:val="22"/>
          <w:szCs w:val="22"/>
          <w:lang w:val="en-CA" w:eastAsia="en-CA"/>
        </w:rPr>
      </w:pPr>
      <w:r w:rsidRPr="008E75FC">
        <w:rPr>
          <w:rFonts w:asciiTheme="minorHAnsi" w:hAnsiTheme="minorHAnsi" w:cstheme="minorHAnsi"/>
          <w:sz w:val="22"/>
          <w:szCs w:val="22"/>
          <w:lang w:val="en-CA" w:eastAsia="en-CA"/>
        </w:rPr>
        <w:t>The following solutions may help ISC continue building a representative and diverse organization:</w:t>
      </w:r>
    </w:p>
    <w:p w14:paraId="67012FA4" w14:textId="4A94CCA9" w:rsidR="007D069C" w:rsidRPr="008E75FC" w:rsidRDefault="00C40D9B" w:rsidP="007D069C">
      <w:pPr>
        <w:pStyle w:val="ListParagraph"/>
        <w:numPr>
          <w:ilvl w:val="0"/>
          <w:numId w:val="26"/>
        </w:numPr>
        <w:autoSpaceDE w:val="0"/>
        <w:autoSpaceDN w:val="0"/>
        <w:adjustRightInd w:val="0"/>
        <w:spacing w:after="0"/>
        <w:rPr>
          <w:rFonts w:asciiTheme="minorHAnsi" w:hAnsiTheme="minorHAnsi" w:cstheme="minorHAnsi"/>
          <w:sz w:val="22"/>
          <w:szCs w:val="22"/>
          <w:lang w:val="en-CA"/>
        </w:rPr>
      </w:pPr>
      <w:r w:rsidRPr="008E75FC">
        <w:rPr>
          <w:rFonts w:asciiTheme="minorHAnsi" w:hAnsiTheme="minorHAnsi" w:cstheme="minorHAnsi"/>
          <w:sz w:val="22"/>
          <w:szCs w:val="22"/>
          <w:lang w:val="en-CA" w:eastAsia="en-CA"/>
        </w:rPr>
        <w:t xml:space="preserve">The </w:t>
      </w:r>
      <w:r w:rsidRPr="008E75FC">
        <w:rPr>
          <w:rStyle w:val="Emphasis"/>
          <w:rFonts w:asciiTheme="minorHAnsi" w:hAnsiTheme="minorHAnsi" w:cstheme="minorHAnsi"/>
          <w:sz w:val="22"/>
          <w:lang w:val="en-CA"/>
        </w:rPr>
        <w:t>Public Service Employment Act</w:t>
      </w:r>
      <w:r w:rsidRPr="008E75FC">
        <w:rPr>
          <w:rFonts w:asciiTheme="minorHAnsi" w:hAnsiTheme="minorHAnsi" w:cstheme="minorHAnsi"/>
          <w:sz w:val="20"/>
          <w:szCs w:val="22"/>
          <w:lang w:val="en-CA" w:eastAsia="en-CA"/>
        </w:rPr>
        <w:t xml:space="preserve"> </w:t>
      </w:r>
      <w:r w:rsidR="001F23AA" w:rsidRPr="008E75FC">
        <w:rPr>
          <w:rFonts w:asciiTheme="minorHAnsi" w:hAnsiTheme="minorHAnsi" w:cstheme="minorHAnsi"/>
          <w:sz w:val="22"/>
          <w:szCs w:val="22"/>
          <w:lang w:val="en-CA" w:eastAsia="en-CA"/>
        </w:rPr>
        <w:t>includes provisions allowing managers to</w:t>
      </w:r>
      <w:r w:rsidR="007D069C" w:rsidRPr="008E75FC">
        <w:rPr>
          <w:rFonts w:asciiTheme="minorHAnsi" w:hAnsiTheme="minorHAnsi" w:cstheme="minorHAnsi"/>
          <w:sz w:val="22"/>
          <w:szCs w:val="22"/>
          <w:lang w:val="en-CA" w:eastAsia="en-CA"/>
        </w:rPr>
        <w:t>:</w:t>
      </w:r>
    </w:p>
    <w:p w14:paraId="338D818B" w14:textId="21AA55ED" w:rsidR="007D069C" w:rsidRPr="008E75FC" w:rsidRDefault="001F23AA" w:rsidP="007D069C">
      <w:pPr>
        <w:pStyle w:val="ListParagraph"/>
        <w:numPr>
          <w:ilvl w:val="1"/>
          <w:numId w:val="26"/>
        </w:numPr>
        <w:autoSpaceDE w:val="0"/>
        <w:autoSpaceDN w:val="0"/>
        <w:adjustRightInd w:val="0"/>
        <w:spacing w:after="0"/>
        <w:rPr>
          <w:rFonts w:asciiTheme="minorHAnsi" w:hAnsiTheme="minorHAnsi" w:cstheme="minorHAnsi"/>
          <w:sz w:val="22"/>
          <w:szCs w:val="22"/>
          <w:lang w:val="en-CA"/>
        </w:rPr>
      </w:pPr>
      <w:r w:rsidRPr="008E75FC">
        <w:rPr>
          <w:rFonts w:asciiTheme="minorHAnsi" w:hAnsiTheme="minorHAnsi" w:cstheme="minorHAnsi"/>
          <w:sz w:val="22"/>
          <w:szCs w:val="22"/>
          <w:lang w:val="en-CA" w:eastAsia="en-CA"/>
        </w:rPr>
        <w:t xml:space="preserve">Target </w:t>
      </w:r>
      <w:r w:rsidR="009A34A8" w:rsidRPr="008E75FC">
        <w:rPr>
          <w:rFonts w:asciiTheme="minorHAnsi" w:hAnsiTheme="minorHAnsi" w:cstheme="minorHAnsi"/>
          <w:sz w:val="22"/>
          <w:szCs w:val="22"/>
          <w:lang w:val="en-CA" w:eastAsia="en-CA"/>
        </w:rPr>
        <w:t>designated group members</w:t>
      </w:r>
      <w:r w:rsidRPr="008E75FC">
        <w:rPr>
          <w:rFonts w:asciiTheme="minorHAnsi" w:hAnsiTheme="minorHAnsi" w:cstheme="minorHAnsi"/>
          <w:sz w:val="22"/>
          <w:szCs w:val="22"/>
          <w:lang w:val="en-CA" w:eastAsia="en-CA"/>
        </w:rPr>
        <w:t xml:space="preserve"> in the area of selection for advertised appointment processes;</w:t>
      </w:r>
    </w:p>
    <w:p w14:paraId="56AF789A" w14:textId="22E983B0" w:rsidR="007D069C" w:rsidRPr="008E75FC" w:rsidRDefault="001F23AA" w:rsidP="007D069C">
      <w:pPr>
        <w:pStyle w:val="ListParagraph"/>
        <w:numPr>
          <w:ilvl w:val="1"/>
          <w:numId w:val="26"/>
        </w:numPr>
        <w:autoSpaceDE w:val="0"/>
        <w:autoSpaceDN w:val="0"/>
        <w:adjustRightInd w:val="0"/>
        <w:spacing w:after="0"/>
        <w:rPr>
          <w:rFonts w:asciiTheme="minorHAnsi" w:hAnsiTheme="minorHAnsi" w:cstheme="minorHAnsi"/>
          <w:sz w:val="22"/>
          <w:szCs w:val="22"/>
          <w:lang w:val="en-CA"/>
        </w:rPr>
      </w:pPr>
      <w:r w:rsidRPr="008E75FC">
        <w:rPr>
          <w:rFonts w:asciiTheme="minorHAnsi" w:hAnsiTheme="minorHAnsi" w:cstheme="minorHAnsi"/>
          <w:sz w:val="22"/>
          <w:szCs w:val="22"/>
          <w:lang w:val="en-CA" w:eastAsia="en-CA"/>
        </w:rPr>
        <w:t xml:space="preserve">Establish and apply an organizational need to appoint </w:t>
      </w:r>
      <w:r w:rsidR="00F62B60" w:rsidRPr="008E75FC">
        <w:rPr>
          <w:rFonts w:asciiTheme="minorHAnsi" w:hAnsiTheme="minorHAnsi" w:cstheme="minorHAnsi"/>
          <w:sz w:val="22"/>
          <w:szCs w:val="22"/>
          <w:lang w:val="en-CA" w:eastAsia="en-CA"/>
        </w:rPr>
        <w:t>designated group members</w:t>
      </w:r>
      <w:r w:rsidRPr="008E75FC">
        <w:rPr>
          <w:rFonts w:asciiTheme="minorHAnsi" w:hAnsiTheme="minorHAnsi" w:cstheme="minorHAnsi"/>
          <w:sz w:val="22"/>
          <w:szCs w:val="22"/>
          <w:lang w:val="en-CA" w:eastAsia="en-CA"/>
        </w:rPr>
        <w:t>; and</w:t>
      </w:r>
    </w:p>
    <w:p w14:paraId="24B2943F" w14:textId="3F57052D" w:rsidR="007D069C" w:rsidRPr="008E75FC" w:rsidRDefault="001F23AA" w:rsidP="007D069C">
      <w:pPr>
        <w:pStyle w:val="ListParagraph"/>
        <w:numPr>
          <w:ilvl w:val="1"/>
          <w:numId w:val="26"/>
        </w:numPr>
        <w:autoSpaceDE w:val="0"/>
        <w:autoSpaceDN w:val="0"/>
        <w:adjustRightInd w:val="0"/>
        <w:spacing w:after="0"/>
        <w:rPr>
          <w:rFonts w:asciiTheme="minorHAnsi" w:hAnsiTheme="minorHAnsi" w:cstheme="minorHAnsi"/>
          <w:sz w:val="22"/>
          <w:szCs w:val="22"/>
          <w:lang w:val="en-CA"/>
        </w:rPr>
      </w:pPr>
      <w:r w:rsidRPr="008E75FC">
        <w:rPr>
          <w:rFonts w:asciiTheme="minorHAnsi" w:hAnsiTheme="minorHAnsi" w:cstheme="minorHAnsi"/>
          <w:sz w:val="22"/>
          <w:szCs w:val="22"/>
          <w:lang w:val="en-CA" w:eastAsia="en-CA"/>
        </w:rPr>
        <w:t xml:space="preserve">Use an external and internal non-advertised appointment process to appoint </w:t>
      </w:r>
      <w:r w:rsidR="009A34A8" w:rsidRPr="008E75FC">
        <w:rPr>
          <w:rFonts w:asciiTheme="minorHAnsi" w:hAnsiTheme="minorHAnsi" w:cstheme="minorHAnsi"/>
          <w:sz w:val="22"/>
          <w:szCs w:val="22"/>
          <w:lang w:val="en-CA" w:eastAsia="en-CA"/>
        </w:rPr>
        <w:t>designated group members</w:t>
      </w:r>
      <w:r w:rsidRPr="008E75FC">
        <w:rPr>
          <w:rFonts w:asciiTheme="minorHAnsi" w:hAnsiTheme="minorHAnsi" w:cstheme="minorHAnsi"/>
          <w:sz w:val="22"/>
          <w:szCs w:val="22"/>
          <w:lang w:val="en-CA" w:eastAsia="en-CA"/>
        </w:rPr>
        <w:t xml:space="preserve">. </w:t>
      </w:r>
    </w:p>
    <w:p w14:paraId="71EE08BB" w14:textId="0F616121" w:rsidR="007D069C" w:rsidRPr="008E75FC" w:rsidRDefault="001F23AA" w:rsidP="007D069C">
      <w:pPr>
        <w:widowControl w:val="0"/>
        <w:numPr>
          <w:ilvl w:val="0"/>
          <w:numId w:val="26"/>
        </w:num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eastAsia="en-CA"/>
        </w:rPr>
        <w:t xml:space="preserve">The PSC offers recruitment solutions that target </w:t>
      </w:r>
      <w:r w:rsidR="009A34A8" w:rsidRPr="008E75FC">
        <w:rPr>
          <w:rFonts w:asciiTheme="minorHAnsi" w:hAnsiTheme="minorHAnsi" w:cstheme="minorHAnsi"/>
          <w:sz w:val="22"/>
          <w:szCs w:val="22"/>
          <w:lang w:val="en-CA" w:eastAsia="en-CA"/>
        </w:rPr>
        <w:t>designated group members</w:t>
      </w:r>
      <w:r w:rsidR="007D069C" w:rsidRPr="008E75FC">
        <w:rPr>
          <w:rFonts w:asciiTheme="minorHAnsi" w:hAnsiTheme="minorHAnsi" w:cstheme="minorHAnsi"/>
          <w:sz w:val="22"/>
          <w:szCs w:val="22"/>
          <w:lang w:val="en-CA" w:eastAsia="en-CA"/>
        </w:rPr>
        <w:t>:</w:t>
      </w:r>
    </w:p>
    <w:p w14:paraId="53D1D196" w14:textId="1C74159F" w:rsidR="007D069C" w:rsidRPr="008E75FC" w:rsidRDefault="009A34A8" w:rsidP="009A34A8">
      <w:pPr>
        <w:widowControl w:val="0"/>
        <w:numPr>
          <w:ilvl w:val="1"/>
          <w:numId w:val="26"/>
        </w:num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 xml:space="preserve">Request referrals of designated group members when using student programs such as the Federal Student Work Experience Program and Post-Secondary Co-op/Internship Program, with a plan that could eventually involve recruiting students into the public service </w:t>
      </w:r>
      <w:r w:rsidR="00030C43" w:rsidRPr="008E75FC">
        <w:rPr>
          <w:rFonts w:asciiTheme="minorHAnsi" w:hAnsiTheme="minorHAnsi" w:cstheme="minorHAnsi"/>
          <w:sz w:val="22"/>
          <w:szCs w:val="22"/>
          <w:lang w:val="en-CA"/>
        </w:rPr>
        <w:t>for</w:t>
      </w:r>
      <w:r w:rsidRPr="008E75FC">
        <w:rPr>
          <w:rFonts w:asciiTheme="minorHAnsi" w:hAnsiTheme="minorHAnsi" w:cstheme="minorHAnsi"/>
          <w:sz w:val="22"/>
          <w:szCs w:val="22"/>
          <w:lang w:val="en-CA"/>
        </w:rPr>
        <w:t xml:space="preserve"> indeterminate or term positions.</w:t>
      </w:r>
    </w:p>
    <w:p w14:paraId="336257D0" w14:textId="202B8474" w:rsidR="007D069C" w:rsidRPr="008E75FC" w:rsidRDefault="009A34A8" w:rsidP="007D069C">
      <w:pPr>
        <w:widowControl w:val="0"/>
        <w:numPr>
          <w:ilvl w:val="1"/>
          <w:numId w:val="26"/>
        </w:num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Request referrals from the Employment Opportunity for Students with Disabilities and Indigenous Student Employment Opportunity.</w:t>
      </w:r>
    </w:p>
    <w:p w14:paraId="5ECF84C0" w14:textId="4A50EBA8" w:rsidR="007D069C" w:rsidRPr="008E75FC" w:rsidRDefault="009E5234" w:rsidP="009E5234">
      <w:pPr>
        <w:widowControl w:val="0"/>
        <w:numPr>
          <w:ilvl w:val="1"/>
          <w:numId w:val="26"/>
        </w:num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eastAsia="en-CA"/>
        </w:rPr>
        <w:lastRenderedPageBreak/>
        <w:t>Hire interns through the Federal Internship Program for Canadians with Disabilities.</w:t>
      </w:r>
    </w:p>
    <w:p w14:paraId="5A24B0CF" w14:textId="15A69DC7" w:rsidR="007D069C" w:rsidRPr="008E75FC" w:rsidRDefault="009E5234" w:rsidP="007D069C">
      <w:pPr>
        <w:widowControl w:val="0"/>
        <w:numPr>
          <w:ilvl w:val="1"/>
          <w:numId w:val="26"/>
        </w:numPr>
        <w:autoSpaceDE w:val="0"/>
        <w:autoSpaceDN w:val="0"/>
        <w:adjustRightInd w:val="0"/>
        <w:rPr>
          <w:rFonts w:asciiTheme="minorHAnsi" w:hAnsiTheme="minorHAnsi" w:cstheme="minorHAnsi"/>
          <w:sz w:val="22"/>
          <w:szCs w:val="22"/>
          <w:u w:val="single"/>
          <w:lang w:val="en-CA" w:eastAsia="en-CA"/>
        </w:rPr>
      </w:pPr>
      <w:r w:rsidRPr="008E75FC">
        <w:rPr>
          <w:rFonts w:asciiTheme="minorHAnsi" w:hAnsiTheme="minorHAnsi" w:cstheme="minorHAnsi"/>
          <w:sz w:val="22"/>
          <w:szCs w:val="22"/>
          <w:lang w:val="en-CA" w:eastAsia="en-CA"/>
        </w:rPr>
        <w:t>Advertise through the student Research Affiliate Program to recruit students from designated groups</w:t>
      </w:r>
      <w:r w:rsidR="007D069C" w:rsidRPr="008E75FC">
        <w:rPr>
          <w:rFonts w:asciiTheme="minorHAnsi" w:hAnsiTheme="minorHAnsi" w:cstheme="minorHAnsi"/>
          <w:sz w:val="22"/>
          <w:szCs w:val="22"/>
          <w:lang w:val="en-CA" w:eastAsia="en-CA"/>
        </w:rPr>
        <w:t>.</w:t>
      </w:r>
    </w:p>
    <w:p w14:paraId="4C9FE717" w14:textId="555ACAB4" w:rsidR="007D069C" w:rsidRPr="008E75FC" w:rsidRDefault="009E5234" w:rsidP="00B7094B">
      <w:pPr>
        <w:widowControl w:val="0"/>
        <w:numPr>
          <w:ilvl w:val="1"/>
          <w:numId w:val="26"/>
        </w:numPr>
        <w:autoSpaceDE w:val="0"/>
        <w:autoSpaceDN w:val="0"/>
        <w:adjustRightInd w:val="0"/>
        <w:spacing w:after="120"/>
        <w:rPr>
          <w:rFonts w:asciiTheme="minorHAnsi" w:hAnsiTheme="minorHAnsi" w:cstheme="minorHAnsi"/>
          <w:sz w:val="22"/>
          <w:szCs w:val="22"/>
          <w:u w:val="single"/>
          <w:lang w:val="en-CA" w:eastAsia="en-CA"/>
        </w:rPr>
      </w:pPr>
      <w:r w:rsidRPr="008E75FC">
        <w:rPr>
          <w:rFonts w:asciiTheme="minorHAnsi" w:hAnsiTheme="minorHAnsi" w:cstheme="minorHAnsi"/>
          <w:sz w:val="22"/>
          <w:szCs w:val="22"/>
          <w:lang w:val="en-CA" w:eastAsia="en-CA"/>
        </w:rPr>
        <w:t>Request referrals of designated group members when using inventories such as P</w:t>
      </w:r>
      <w:r w:rsidR="00F62B60" w:rsidRPr="008E75FC">
        <w:rPr>
          <w:rFonts w:asciiTheme="minorHAnsi" w:hAnsiTheme="minorHAnsi" w:cstheme="minorHAnsi"/>
          <w:sz w:val="22"/>
          <w:szCs w:val="22"/>
          <w:lang w:val="en-CA" w:eastAsia="en-CA"/>
        </w:rPr>
        <w:t>ost</w:t>
      </w:r>
      <w:r w:rsidR="00F62B60" w:rsidRPr="008E75FC">
        <w:rPr>
          <w:rFonts w:asciiTheme="minorHAnsi" w:hAnsiTheme="minorHAnsi" w:cstheme="minorHAnsi"/>
          <w:sz w:val="22"/>
          <w:szCs w:val="22"/>
          <w:lang w:val="en-CA" w:eastAsia="en-CA"/>
        </w:rPr>
        <w:noBreakHyphen/>
      </w:r>
      <w:r w:rsidRPr="008E75FC">
        <w:rPr>
          <w:rFonts w:asciiTheme="minorHAnsi" w:hAnsiTheme="minorHAnsi" w:cstheme="minorHAnsi"/>
          <w:sz w:val="22"/>
          <w:szCs w:val="22"/>
          <w:lang w:val="en-CA" w:eastAsia="en-CA"/>
        </w:rPr>
        <w:t>Secondary Recruitment.</w:t>
      </w:r>
    </w:p>
    <w:p w14:paraId="415D25A2" w14:textId="3356B9BA" w:rsidR="00AA03F8" w:rsidRPr="008E75FC" w:rsidRDefault="00467596" w:rsidP="007F1DE2">
      <w:pPr>
        <w:pStyle w:val="Heading1"/>
        <w:spacing w:after="120"/>
        <w:rPr>
          <w:lang w:val="en-CA"/>
        </w:rPr>
      </w:pPr>
      <w:r w:rsidRPr="008E75FC">
        <w:rPr>
          <w:lang w:val="en-CA"/>
        </w:rPr>
        <w:t>Priority Entitlements and Veterans</w:t>
      </w:r>
    </w:p>
    <w:p w14:paraId="154E8993" w14:textId="0644EF0E" w:rsidR="00A04871" w:rsidRPr="008E75FC" w:rsidRDefault="0080577C" w:rsidP="00B7094B">
      <w:pPr>
        <w:spacing w:after="120"/>
        <w:rPr>
          <w:rFonts w:asciiTheme="minorHAnsi" w:eastAsia="Calibri" w:hAnsiTheme="minorHAnsi" w:cstheme="minorHAnsi"/>
          <w:sz w:val="22"/>
          <w:szCs w:val="22"/>
          <w:lang w:val="en-CA"/>
        </w:rPr>
      </w:pPr>
      <w:r w:rsidRPr="008E75FC">
        <w:rPr>
          <w:rFonts w:asciiTheme="minorHAnsi" w:eastAsia="Calibri" w:hAnsiTheme="minorHAnsi" w:cstheme="minorHAnsi"/>
          <w:sz w:val="22"/>
          <w:szCs w:val="22"/>
          <w:lang w:val="en-CA"/>
        </w:rPr>
        <w:t>From April 1, 2019</w:t>
      </w:r>
      <w:r w:rsidR="001B7B66" w:rsidRPr="008E75FC">
        <w:rPr>
          <w:rFonts w:asciiTheme="minorHAnsi" w:eastAsia="Calibri" w:hAnsiTheme="minorHAnsi" w:cstheme="minorHAnsi"/>
          <w:sz w:val="22"/>
          <w:szCs w:val="22"/>
          <w:lang w:val="en-CA"/>
        </w:rPr>
        <w:t>,</w:t>
      </w:r>
      <w:r w:rsidRPr="008E75FC">
        <w:rPr>
          <w:rFonts w:asciiTheme="minorHAnsi" w:eastAsia="Calibri" w:hAnsiTheme="minorHAnsi" w:cstheme="minorHAnsi"/>
          <w:sz w:val="22"/>
          <w:szCs w:val="22"/>
          <w:lang w:val="en-CA"/>
        </w:rPr>
        <w:t xml:space="preserve"> to October 5, 2020, ISC </w:t>
      </w:r>
      <w:r w:rsidR="00117E72" w:rsidRPr="008E75FC">
        <w:rPr>
          <w:rFonts w:asciiTheme="minorHAnsi" w:eastAsia="Calibri" w:hAnsiTheme="minorHAnsi" w:cstheme="minorHAnsi"/>
          <w:sz w:val="22"/>
          <w:szCs w:val="22"/>
          <w:lang w:val="en-CA"/>
        </w:rPr>
        <w:t xml:space="preserve">submitted </w:t>
      </w:r>
      <w:r w:rsidR="00A04871" w:rsidRPr="008E75FC">
        <w:rPr>
          <w:rFonts w:asciiTheme="minorHAnsi" w:eastAsia="Calibri" w:hAnsiTheme="minorHAnsi" w:cstheme="minorHAnsi"/>
          <w:sz w:val="22"/>
          <w:szCs w:val="22"/>
          <w:lang w:val="en-CA"/>
        </w:rPr>
        <w:t>1</w:t>
      </w:r>
      <w:r w:rsidR="001B7B66" w:rsidRPr="008E75FC">
        <w:rPr>
          <w:rFonts w:asciiTheme="minorHAnsi" w:eastAsia="Calibri" w:hAnsiTheme="minorHAnsi" w:cstheme="minorHAnsi"/>
          <w:sz w:val="22"/>
          <w:szCs w:val="22"/>
          <w:lang w:val="en-CA"/>
        </w:rPr>
        <w:t>,</w:t>
      </w:r>
      <w:r w:rsidR="00A04871" w:rsidRPr="008E75FC">
        <w:rPr>
          <w:rFonts w:asciiTheme="minorHAnsi" w:eastAsia="Calibri" w:hAnsiTheme="minorHAnsi" w:cstheme="minorHAnsi"/>
          <w:sz w:val="22"/>
          <w:szCs w:val="22"/>
          <w:lang w:val="en-CA"/>
        </w:rPr>
        <w:t xml:space="preserve">953* </w:t>
      </w:r>
      <w:r w:rsidR="00117E72" w:rsidRPr="008E75FC">
        <w:rPr>
          <w:rFonts w:asciiTheme="minorHAnsi" w:eastAsia="Calibri" w:hAnsiTheme="minorHAnsi" w:cstheme="minorHAnsi"/>
          <w:sz w:val="22"/>
          <w:szCs w:val="22"/>
          <w:lang w:val="en-CA"/>
        </w:rPr>
        <w:t>priority clearance requests</w:t>
      </w:r>
      <w:r w:rsidR="00A04871" w:rsidRPr="008E75FC">
        <w:rPr>
          <w:rFonts w:asciiTheme="minorHAnsi" w:eastAsia="Calibri" w:hAnsiTheme="minorHAnsi" w:cstheme="minorHAnsi"/>
          <w:sz w:val="22"/>
          <w:szCs w:val="22"/>
          <w:lang w:val="en-CA"/>
        </w:rPr>
        <w:t xml:space="preserve">. </w:t>
      </w:r>
    </w:p>
    <w:p w14:paraId="2E695491" w14:textId="08187901" w:rsidR="0080577C" w:rsidRPr="008E75FC" w:rsidRDefault="0080577C" w:rsidP="004F7697">
      <w:pPr>
        <w:spacing w:after="120"/>
        <w:rPr>
          <w:rFonts w:asciiTheme="minorHAnsi" w:hAnsiTheme="minorHAnsi" w:cstheme="minorHAnsi"/>
          <w:sz w:val="22"/>
          <w:szCs w:val="22"/>
          <w:lang w:val="en-CA"/>
        </w:rPr>
      </w:pPr>
      <w:r w:rsidRPr="008E75FC">
        <w:rPr>
          <w:rFonts w:asciiTheme="minorHAnsi" w:hAnsiTheme="minorHAnsi" w:cstheme="minorHAnsi"/>
          <w:color w:val="000000"/>
          <w:sz w:val="22"/>
          <w:szCs w:val="22"/>
          <w:lang w:val="en-CA"/>
        </w:rPr>
        <w:t xml:space="preserve">Since the </w:t>
      </w:r>
      <w:r w:rsidRPr="008E75FC">
        <w:rPr>
          <w:rFonts w:asciiTheme="minorHAnsi" w:hAnsiTheme="minorHAnsi" w:cstheme="minorHAnsi"/>
          <w:sz w:val="22"/>
          <w:szCs w:val="22"/>
          <w:lang w:val="en-CA"/>
        </w:rPr>
        <w:t>Priority Entitlements Policy Division began monitoring priority entitlement clearances related to C</w:t>
      </w:r>
      <w:r w:rsidR="001B7B66" w:rsidRPr="008E75FC">
        <w:rPr>
          <w:rFonts w:asciiTheme="minorHAnsi" w:hAnsiTheme="minorHAnsi" w:cstheme="minorHAnsi"/>
          <w:sz w:val="22"/>
          <w:szCs w:val="22"/>
          <w:lang w:val="en-CA"/>
        </w:rPr>
        <w:t>OVID</w:t>
      </w:r>
      <w:r w:rsidRPr="008E75FC">
        <w:rPr>
          <w:rFonts w:asciiTheme="minorHAnsi" w:hAnsiTheme="minorHAnsi" w:cstheme="minorHAnsi"/>
          <w:sz w:val="22"/>
          <w:szCs w:val="22"/>
          <w:lang w:val="en-CA"/>
        </w:rPr>
        <w:t>-19, ISC has submitted 166 authorization requests for 172 positions specifically related to the management of the pandemic.</w:t>
      </w:r>
    </w:p>
    <w:p w14:paraId="40155E2A" w14:textId="2DE6C790" w:rsidR="00694D11" w:rsidRPr="008E75FC" w:rsidRDefault="00694D11" w:rsidP="00B7094B">
      <w:pPr>
        <w:spacing w:after="120"/>
        <w:rPr>
          <w:rFonts w:asciiTheme="minorHAnsi" w:eastAsia="Calibri" w:hAnsiTheme="minorHAnsi" w:cstheme="minorHAnsi"/>
          <w:sz w:val="22"/>
          <w:szCs w:val="22"/>
          <w:lang w:val="en-CA"/>
        </w:rPr>
      </w:pPr>
      <w:r w:rsidRPr="008E75FC">
        <w:rPr>
          <w:rFonts w:asciiTheme="minorHAnsi" w:eastAsia="Calibri" w:hAnsiTheme="minorHAnsi" w:cstheme="minorHAnsi"/>
          <w:sz w:val="22"/>
          <w:szCs w:val="22"/>
          <w:lang w:val="en-CA"/>
        </w:rPr>
        <w:t>From April 1, 2019</w:t>
      </w:r>
      <w:r w:rsidR="000C3C8A" w:rsidRPr="008E75FC">
        <w:rPr>
          <w:rFonts w:asciiTheme="minorHAnsi" w:eastAsia="Calibri" w:hAnsiTheme="minorHAnsi" w:cstheme="minorHAnsi"/>
          <w:sz w:val="22"/>
          <w:szCs w:val="22"/>
          <w:lang w:val="en-CA"/>
        </w:rPr>
        <w:t>,</w:t>
      </w:r>
      <w:r w:rsidRPr="008E75FC">
        <w:rPr>
          <w:rFonts w:asciiTheme="minorHAnsi" w:eastAsia="Calibri" w:hAnsiTheme="minorHAnsi" w:cstheme="minorHAnsi"/>
          <w:sz w:val="22"/>
          <w:szCs w:val="22"/>
          <w:lang w:val="en-CA"/>
        </w:rPr>
        <w:t xml:space="preserve"> to October 5, 2020, ISC appointed 13</w:t>
      </w:r>
      <w:r w:rsidRPr="008E75FC">
        <w:rPr>
          <w:rFonts w:asciiTheme="minorHAnsi" w:eastAsia="Calibri" w:hAnsiTheme="minorHAnsi" w:cstheme="minorHAnsi"/>
          <w:color w:val="FF0000"/>
          <w:sz w:val="22"/>
          <w:szCs w:val="22"/>
          <w:lang w:val="en-CA"/>
        </w:rPr>
        <w:t xml:space="preserve"> </w:t>
      </w:r>
      <w:r w:rsidRPr="008E75FC">
        <w:rPr>
          <w:rFonts w:asciiTheme="minorHAnsi" w:eastAsia="Calibri" w:hAnsiTheme="minorHAnsi" w:cstheme="minorHAnsi"/>
          <w:sz w:val="22"/>
          <w:szCs w:val="22"/>
          <w:lang w:val="en-CA"/>
        </w:rPr>
        <w:t>persons with a priority entitlement (PPE).</w:t>
      </w:r>
    </w:p>
    <w:p w14:paraId="28546FC3" w14:textId="41B47D87" w:rsidR="00694D11" w:rsidRPr="008E75FC" w:rsidRDefault="000C3C8A" w:rsidP="00B7094B">
      <w:pPr>
        <w:spacing w:after="120"/>
        <w:rPr>
          <w:rFonts w:asciiTheme="minorHAnsi" w:eastAsia="Calibri" w:hAnsiTheme="minorHAnsi" w:cstheme="minorHAnsi"/>
          <w:sz w:val="22"/>
          <w:szCs w:val="22"/>
          <w:lang w:val="en-CA"/>
        </w:rPr>
      </w:pPr>
      <w:r w:rsidRPr="008E75FC">
        <w:rPr>
          <w:rFonts w:asciiTheme="minorHAnsi" w:eastAsia="Calibri" w:hAnsiTheme="minorHAnsi" w:cstheme="minorHAnsi"/>
          <w:sz w:val="22"/>
          <w:szCs w:val="22"/>
          <w:lang w:val="en-CA"/>
        </w:rPr>
        <w:t xml:space="preserve">Between </w:t>
      </w:r>
      <w:r w:rsidR="00694D11" w:rsidRPr="008E75FC">
        <w:rPr>
          <w:rFonts w:asciiTheme="minorHAnsi" w:eastAsia="Calibri" w:hAnsiTheme="minorHAnsi" w:cstheme="minorHAnsi"/>
          <w:sz w:val="22"/>
          <w:szCs w:val="22"/>
          <w:lang w:val="en-CA"/>
        </w:rPr>
        <w:t xml:space="preserve">the coming into force of the </w:t>
      </w:r>
      <w:r w:rsidR="00694D11" w:rsidRPr="008E75FC">
        <w:rPr>
          <w:rStyle w:val="Emphasis"/>
          <w:rFonts w:asciiTheme="minorHAnsi" w:eastAsia="Calibri" w:hAnsiTheme="minorHAnsi" w:cstheme="minorHAnsi"/>
          <w:sz w:val="22"/>
          <w:lang w:val="en-CA"/>
        </w:rPr>
        <w:t>Veterans Hiring Act</w:t>
      </w:r>
      <w:r w:rsidR="00694D11" w:rsidRPr="008E75FC">
        <w:rPr>
          <w:rFonts w:asciiTheme="minorHAnsi" w:eastAsia="Calibri" w:hAnsiTheme="minorHAnsi" w:cstheme="minorHAnsi"/>
          <w:sz w:val="20"/>
          <w:szCs w:val="22"/>
          <w:lang w:val="en-CA"/>
        </w:rPr>
        <w:t xml:space="preserve"> </w:t>
      </w:r>
      <w:r w:rsidR="00694D11" w:rsidRPr="008E75FC">
        <w:rPr>
          <w:rFonts w:asciiTheme="minorHAnsi" w:eastAsia="Calibri" w:hAnsiTheme="minorHAnsi" w:cstheme="minorHAnsi"/>
          <w:sz w:val="22"/>
          <w:szCs w:val="22"/>
          <w:lang w:val="en-CA"/>
        </w:rPr>
        <w:t>on July 1, 2015</w:t>
      </w:r>
      <w:r w:rsidRPr="008E75FC">
        <w:rPr>
          <w:rFonts w:asciiTheme="minorHAnsi" w:eastAsia="Calibri" w:hAnsiTheme="minorHAnsi" w:cstheme="minorHAnsi"/>
          <w:sz w:val="22"/>
          <w:szCs w:val="22"/>
          <w:lang w:val="en-CA"/>
        </w:rPr>
        <w:t>, and</w:t>
      </w:r>
      <w:r w:rsidR="00030C43" w:rsidRPr="008E75FC">
        <w:rPr>
          <w:rFonts w:asciiTheme="minorHAnsi" w:eastAsia="Calibri" w:hAnsiTheme="minorHAnsi" w:cstheme="minorHAnsi"/>
          <w:sz w:val="22"/>
          <w:szCs w:val="22"/>
          <w:lang w:val="en-CA"/>
        </w:rPr>
        <w:t xml:space="preserve"> </w:t>
      </w:r>
      <w:r w:rsidR="00694D11" w:rsidRPr="008E75FC">
        <w:rPr>
          <w:rFonts w:asciiTheme="minorHAnsi" w:eastAsia="Calibri" w:hAnsiTheme="minorHAnsi" w:cstheme="minorHAnsi"/>
          <w:sz w:val="22"/>
          <w:szCs w:val="22"/>
          <w:lang w:val="en-CA"/>
        </w:rPr>
        <w:t>September</w:t>
      </w:r>
      <w:r w:rsidR="000A20CC" w:rsidRPr="008E75FC">
        <w:rPr>
          <w:rFonts w:asciiTheme="minorHAnsi" w:eastAsia="Calibri" w:hAnsiTheme="minorHAnsi" w:cstheme="minorHAnsi"/>
          <w:sz w:val="22"/>
          <w:szCs w:val="22"/>
          <w:lang w:val="en-CA"/>
        </w:rPr>
        <w:t> </w:t>
      </w:r>
      <w:r w:rsidR="00694D11" w:rsidRPr="008E75FC">
        <w:rPr>
          <w:rFonts w:asciiTheme="minorHAnsi" w:eastAsia="Calibri" w:hAnsiTheme="minorHAnsi" w:cstheme="minorHAnsi"/>
          <w:sz w:val="22"/>
          <w:szCs w:val="22"/>
          <w:lang w:val="en-CA"/>
        </w:rPr>
        <w:t xml:space="preserve">30, 2020, ISC made </w:t>
      </w:r>
      <w:r w:rsidR="00694D11" w:rsidRPr="008E75FC">
        <w:rPr>
          <w:rFonts w:asciiTheme="minorHAnsi" w:eastAsia="Calibri" w:hAnsiTheme="minorHAnsi" w:cstheme="minorHAnsi"/>
          <w:sz w:val="22"/>
          <w:szCs w:val="22"/>
          <w:u w:val="single"/>
          <w:lang w:val="en-CA"/>
        </w:rPr>
        <w:t>one</w:t>
      </w:r>
      <w:r w:rsidR="00694D11" w:rsidRPr="008E75FC">
        <w:rPr>
          <w:rFonts w:asciiTheme="minorHAnsi" w:eastAsia="Calibri" w:hAnsiTheme="minorHAnsi" w:cstheme="minorHAnsi"/>
          <w:sz w:val="22"/>
          <w:szCs w:val="22"/>
          <w:lang w:val="en-CA"/>
        </w:rPr>
        <w:t xml:space="preserve"> appointment of</w:t>
      </w:r>
      <w:r w:rsidR="00694D11" w:rsidRPr="008E75FC">
        <w:rPr>
          <w:rFonts w:asciiTheme="minorHAnsi" w:eastAsia="Calibri" w:hAnsiTheme="minorHAnsi" w:cstheme="minorHAnsi"/>
          <w:color w:val="000000"/>
          <w:sz w:val="22"/>
          <w:szCs w:val="22"/>
          <w:lang w:val="en-CA"/>
        </w:rPr>
        <w:t xml:space="preserve"> </w:t>
      </w:r>
      <w:r w:rsidRPr="008E75FC">
        <w:rPr>
          <w:rFonts w:asciiTheme="minorHAnsi" w:eastAsia="Calibri" w:hAnsiTheme="minorHAnsi" w:cstheme="minorHAnsi"/>
          <w:sz w:val="22"/>
          <w:szCs w:val="22"/>
          <w:lang w:val="en-CA"/>
        </w:rPr>
        <w:t xml:space="preserve">a person </w:t>
      </w:r>
      <w:r w:rsidR="00694D11" w:rsidRPr="008E75FC">
        <w:rPr>
          <w:rFonts w:asciiTheme="minorHAnsi" w:eastAsia="Calibri" w:hAnsiTheme="minorHAnsi" w:cstheme="minorHAnsi"/>
          <w:sz w:val="22"/>
          <w:szCs w:val="22"/>
          <w:lang w:val="en-CA"/>
        </w:rPr>
        <w:t>with a CAF Priority Entitlement.</w:t>
      </w:r>
    </w:p>
    <w:p w14:paraId="39CA518D" w14:textId="77866BA7" w:rsidR="0080577C" w:rsidRPr="008E75FC" w:rsidRDefault="0080577C" w:rsidP="00B7094B">
      <w:pPr>
        <w:spacing w:after="120"/>
        <w:rPr>
          <w:rFonts w:asciiTheme="minorHAnsi" w:eastAsia="Calibri" w:hAnsiTheme="minorHAnsi" w:cstheme="minorHAnsi"/>
          <w:sz w:val="22"/>
          <w:szCs w:val="22"/>
          <w:lang w:val="en-CA"/>
        </w:rPr>
      </w:pPr>
      <w:r w:rsidRPr="008E75FC">
        <w:rPr>
          <w:rFonts w:asciiTheme="minorHAnsi" w:eastAsia="Calibri" w:hAnsiTheme="minorHAnsi" w:cstheme="minorHAnsi"/>
          <w:sz w:val="22"/>
          <w:szCs w:val="22"/>
          <w:lang w:val="en-CA"/>
        </w:rPr>
        <w:t>As of October 1, 2020, ISC had 30 persons with a priority entitlement in the Priority Information Management System</w:t>
      </w:r>
      <w:r w:rsidR="000C3C8A" w:rsidRPr="008E75FC">
        <w:rPr>
          <w:rFonts w:asciiTheme="minorHAnsi" w:eastAsia="Calibri" w:hAnsiTheme="minorHAnsi" w:cstheme="minorHAnsi"/>
          <w:sz w:val="22"/>
          <w:szCs w:val="22"/>
          <w:lang w:val="en-CA"/>
        </w:rPr>
        <w:t>.</w:t>
      </w:r>
    </w:p>
    <w:p w14:paraId="15686206" w14:textId="7506B891" w:rsidR="004F7697" w:rsidRPr="008E75FC" w:rsidRDefault="004F7697" w:rsidP="004F7697">
      <w:pPr>
        <w:pStyle w:val="Heading2"/>
        <w:spacing w:after="120"/>
        <w:rPr>
          <w:rFonts w:eastAsia="Calibri"/>
          <w:lang w:val="en-CA"/>
        </w:rPr>
      </w:pPr>
      <w:r w:rsidRPr="008E75FC">
        <w:rPr>
          <w:rFonts w:eastAsia="Calibri"/>
          <w:lang w:val="en-CA"/>
        </w:rPr>
        <w:t>Priority Authorization Requests Indigenous Services Canada</w:t>
      </w:r>
    </w:p>
    <w:p w14:paraId="58F8AAE9" w14:textId="2C8E9817" w:rsidR="004F7697" w:rsidRPr="008E75FC" w:rsidRDefault="004F7697" w:rsidP="004F7697">
      <w:pPr>
        <w:rPr>
          <w:rFonts w:asciiTheme="minorHAnsi" w:eastAsia="Calibri" w:hAnsiTheme="minorHAnsi" w:cstheme="minorHAnsi"/>
          <w:sz w:val="22"/>
          <w:szCs w:val="22"/>
          <w:lang w:val="en-CA"/>
        </w:rPr>
      </w:pPr>
      <w:r w:rsidRPr="008E75FC">
        <w:rPr>
          <w:rFonts w:asciiTheme="minorHAnsi" w:eastAsia="Calibri" w:hAnsiTheme="minorHAnsi" w:cstheme="minorHAnsi"/>
          <w:sz w:val="22"/>
          <w:szCs w:val="22"/>
          <w:lang w:val="en-CA"/>
        </w:rPr>
        <w:t xml:space="preserve">From April 1, 2019, to October 5, 2020, ISC has submitted 1,953 priority clearance requests. </w:t>
      </w:r>
    </w:p>
    <w:p w14:paraId="56C1A534" w14:textId="77777777" w:rsidR="004F7697" w:rsidRPr="008E75FC" w:rsidRDefault="004F7697" w:rsidP="004F7697">
      <w:pPr>
        <w:pStyle w:val="ListParagraph"/>
        <w:numPr>
          <w:ilvl w:val="0"/>
          <w:numId w:val="27"/>
        </w:numPr>
        <w:spacing w:after="0"/>
        <w:rPr>
          <w:rFonts w:asciiTheme="minorHAnsi" w:hAnsiTheme="minorHAnsi" w:cstheme="minorHAnsi"/>
          <w:sz w:val="22"/>
          <w:szCs w:val="22"/>
          <w:lang w:val="en-CA"/>
        </w:rPr>
      </w:pPr>
      <w:r w:rsidRPr="008E75FC">
        <w:rPr>
          <w:rFonts w:asciiTheme="minorHAnsi" w:hAnsiTheme="minorHAnsi" w:cstheme="minorHAnsi"/>
          <w:sz w:val="22"/>
          <w:szCs w:val="22"/>
          <w:lang w:val="en-CA"/>
        </w:rPr>
        <w:t>497 external non-advertised appointments</w:t>
      </w:r>
    </w:p>
    <w:p w14:paraId="5DEB9FB2" w14:textId="77777777" w:rsidR="004F7697" w:rsidRPr="008E75FC" w:rsidRDefault="004F7697" w:rsidP="004F7697">
      <w:pPr>
        <w:pStyle w:val="ListParagraph"/>
        <w:numPr>
          <w:ilvl w:val="0"/>
          <w:numId w:val="27"/>
        </w:numPr>
        <w:spacing w:after="0"/>
        <w:rPr>
          <w:rFonts w:asciiTheme="minorHAnsi" w:hAnsiTheme="minorHAnsi" w:cstheme="minorHAnsi"/>
          <w:sz w:val="22"/>
          <w:szCs w:val="22"/>
          <w:lang w:val="en-CA"/>
        </w:rPr>
      </w:pPr>
      <w:r w:rsidRPr="008E75FC">
        <w:rPr>
          <w:rFonts w:asciiTheme="minorHAnsi" w:hAnsiTheme="minorHAnsi" w:cstheme="minorHAnsi"/>
          <w:sz w:val="22"/>
          <w:szCs w:val="22"/>
          <w:lang w:val="en-CA"/>
        </w:rPr>
        <w:t xml:space="preserve">428 internal non-advertised appointments </w:t>
      </w:r>
    </w:p>
    <w:p w14:paraId="335A4768" w14:textId="77777777" w:rsidR="004F7697" w:rsidRPr="008E75FC" w:rsidRDefault="004F7697" w:rsidP="004F7697">
      <w:pPr>
        <w:pStyle w:val="ListParagraph"/>
        <w:numPr>
          <w:ilvl w:val="0"/>
          <w:numId w:val="27"/>
        </w:numPr>
        <w:spacing w:after="0"/>
        <w:rPr>
          <w:rFonts w:asciiTheme="minorHAnsi" w:hAnsiTheme="minorHAnsi" w:cstheme="minorHAnsi"/>
          <w:sz w:val="22"/>
          <w:szCs w:val="22"/>
          <w:lang w:val="en-CA"/>
        </w:rPr>
      </w:pPr>
      <w:r w:rsidRPr="008E75FC">
        <w:rPr>
          <w:rFonts w:asciiTheme="minorHAnsi" w:hAnsiTheme="minorHAnsi" w:cstheme="minorHAnsi"/>
          <w:sz w:val="22"/>
          <w:szCs w:val="22"/>
          <w:lang w:val="en-CA"/>
        </w:rPr>
        <w:t>246 appointments from among the qualified persons identified in a previous external appointment process</w:t>
      </w:r>
    </w:p>
    <w:p w14:paraId="29722F28" w14:textId="77777777" w:rsidR="004F7697" w:rsidRPr="008E75FC" w:rsidRDefault="004F7697" w:rsidP="004F7697">
      <w:pPr>
        <w:pStyle w:val="ListParagraph"/>
        <w:numPr>
          <w:ilvl w:val="0"/>
          <w:numId w:val="27"/>
        </w:numPr>
        <w:spacing w:after="0"/>
        <w:rPr>
          <w:rFonts w:asciiTheme="minorHAnsi" w:hAnsiTheme="minorHAnsi" w:cstheme="minorHAnsi"/>
          <w:sz w:val="22"/>
          <w:szCs w:val="22"/>
          <w:lang w:val="en-CA"/>
        </w:rPr>
      </w:pPr>
      <w:r w:rsidRPr="008E75FC">
        <w:rPr>
          <w:rFonts w:asciiTheme="minorHAnsi" w:hAnsiTheme="minorHAnsi" w:cstheme="minorHAnsi"/>
          <w:sz w:val="22"/>
          <w:szCs w:val="22"/>
          <w:lang w:val="en-CA"/>
        </w:rPr>
        <w:t>173 external advertised appointments</w:t>
      </w:r>
    </w:p>
    <w:p w14:paraId="1C87EB39" w14:textId="77777777" w:rsidR="004F7697" w:rsidRPr="008E75FC" w:rsidRDefault="004F7697" w:rsidP="004F7697">
      <w:pPr>
        <w:pStyle w:val="ListParagraph"/>
        <w:numPr>
          <w:ilvl w:val="0"/>
          <w:numId w:val="27"/>
        </w:numPr>
        <w:spacing w:after="0"/>
        <w:rPr>
          <w:rFonts w:asciiTheme="minorHAnsi" w:hAnsiTheme="minorHAnsi" w:cstheme="minorHAnsi"/>
          <w:sz w:val="22"/>
          <w:szCs w:val="22"/>
          <w:lang w:val="en-CA"/>
        </w:rPr>
      </w:pPr>
      <w:r w:rsidRPr="008E75FC">
        <w:rPr>
          <w:rFonts w:asciiTheme="minorHAnsi" w:hAnsiTheme="minorHAnsi" w:cstheme="minorHAnsi"/>
          <w:sz w:val="22"/>
          <w:szCs w:val="22"/>
          <w:lang w:val="en-CA"/>
        </w:rPr>
        <w:t>159 appointments from among the qualified persons identified in a previous internal appointment process</w:t>
      </w:r>
    </w:p>
    <w:p w14:paraId="2557AD72" w14:textId="77777777" w:rsidR="004F7697" w:rsidRPr="008E75FC" w:rsidRDefault="004F7697" w:rsidP="004F7697">
      <w:pPr>
        <w:pStyle w:val="ListParagraph"/>
        <w:numPr>
          <w:ilvl w:val="0"/>
          <w:numId w:val="27"/>
        </w:numPr>
        <w:spacing w:after="0"/>
        <w:rPr>
          <w:rFonts w:asciiTheme="minorHAnsi" w:hAnsiTheme="minorHAnsi" w:cstheme="minorHAnsi"/>
          <w:sz w:val="22"/>
          <w:szCs w:val="22"/>
          <w:lang w:val="en-CA"/>
        </w:rPr>
      </w:pPr>
      <w:r w:rsidRPr="008E75FC">
        <w:rPr>
          <w:rFonts w:asciiTheme="minorHAnsi" w:hAnsiTheme="minorHAnsi" w:cstheme="minorHAnsi"/>
          <w:sz w:val="22"/>
          <w:szCs w:val="22"/>
          <w:lang w:val="en-CA"/>
        </w:rPr>
        <w:t>149 internal advertised appointments</w:t>
      </w:r>
    </w:p>
    <w:p w14:paraId="2FA5A9AF" w14:textId="77777777" w:rsidR="004F7697" w:rsidRPr="008E75FC" w:rsidRDefault="004F7697" w:rsidP="004F7697">
      <w:pPr>
        <w:pStyle w:val="ListParagraph"/>
        <w:numPr>
          <w:ilvl w:val="0"/>
          <w:numId w:val="27"/>
        </w:numPr>
        <w:spacing w:after="0"/>
        <w:rPr>
          <w:rFonts w:asciiTheme="minorHAnsi" w:hAnsiTheme="minorHAnsi" w:cstheme="minorHAnsi"/>
          <w:sz w:val="22"/>
          <w:szCs w:val="22"/>
          <w:lang w:val="en-CA"/>
        </w:rPr>
      </w:pPr>
      <w:r w:rsidRPr="008E75FC">
        <w:rPr>
          <w:rFonts w:asciiTheme="minorHAnsi" w:hAnsiTheme="minorHAnsi" w:cstheme="minorHAnsi"/>
          <w:sz w:val="22"/>
          <w:szCs w:val="22"/>
          <w:lang w:val="en-CA"/>
        </w:rPr>
        <w:t>135 external appointments related to employment equity</w:t>
      </w:r>
    </w:p>
    <w:p w14:paraId="016B6C0E" w14:textId="77777777" w:rsidR="004F7697" w:rsidRPr="008E75FC" w:rsidRDefault="004F7697" w:rsidP="004F7697">
      <w:pPr>
        <w:pStyle w:val="ListParagraph"/>
        <w:numPr>
          <w:ilvl w:val="0"/>
          <w:numId w:val="27"/>
        </w:numPr>
        <w:spacing w:after="0"/>
        <w:rPr>
          <w:rFonts w:asciiTheme="minorHAnsi" w:hAnsiTheme="minorHAnsi" w:cstheme="minorHAnsi"/>
          <w:sz w:val="22"/>
          <w:szCs w:val="22"/>
          <w:lang w:val="en-CA"/>
        </w:rPr>
      </w:pPr>
      <w:r w:rsidRPr="008E75FC">
        <w:rPr>
          <w:rFonts w:asciiTheme="minorHAnsi" w:hAnsiTheme="minorHAnsi" w:cstheme="minorHAnsi"/>
          <w:sz w:val="22"/>
          <w:szCs w:val="22"/>
          <w:lang w:val="en-CA"/>
        </w:rPr>
        <w:t>90 internal appointments related to employment equity</w:t>
      </w:r>
    </w:p>
    <w:p w14:paraId="111D0186" w14:textId="77777777" w:rsidR="004F7697" w:rsidRPr="008E75FC" w:rsidRDefault="004F7697" w:rsidP="004F7697">
      <w:pPr>
        <w:pStyle w:val="ListParagraph"/>
        <w:numPr>
          <w:ilvl w:val="0"/>
          <w:numId w:val="27"/>
        </w:numPr>
        <w:spacing w:after="0"/>
        <w:rPr>
          <w:rFonts w:asciiTheme="minorHAnsi" w:hAnsiTheme="minorHAnsi" w:cstheme="minorHAnsi"/>
          <w:sz w:val="22"/>
          <w:szCs w:val="22"/>
          <w:lang w:val="en-CA"/>
        </w:rPr>
      </w:pPr>
      <w:r w:rsidRPr="008E75FC">
        <w:rPr>
          <w:rFonts w:asciiTheme="minorHAnsi" w:hAnsiTheme="minorHAnsi" w:cstheme="minorHAnsi"/>
          <w:sz w:val="22"/>
          <w:szCs w:val="22"/>
          <w:lang w:val="en-CA"/>
        </w:rPr>
        <w:t>36 student bridging</w:t>
      </w:r>
    </w:p>
    <w:p w14:paraId="20D01A25" w14:textId="77777777" w:rsidR="004F7697" w:rsidRPr="008E75FC" w:rsidRDefault="004F7697" w:rsidP="004F7697">
      <w:pPr>
        <w:pStyle w:val="ListParagraph"/>
        <w:numPr>
          <w:ilvl w:val="0"/>
          <w:numId w:val="27"/>
        </w:numPr>
        <w:spacing w:after="0"/>
        <w:rPr>
          <w:rFonts w:asciiTheme="minorHAnsi" w:hAnsiTheme="minorHAnsi" w:cstheme="minorHAnsi"/>
          <w:sz w:val="22"/>
          <w:szCs w:val="22"/>
          <w:lang w:val="en-CA"/>
        </w:rPr>
      </w:pPr>
      <w:r w:rsidRPr="008E75FC">
        <w:rPr>
          <w:rFonts w:asciiTheme="minorHAnsi" w:hAnsiTheme="minorHAnsi" w:cstheme="minorHAnsi"/>
          <w:sz w:val="22"/>
          <w:szCs w:val="22"/>
          <w:lang w:val="en-CA"/>
        </w:rPr>
        <w:t xml:space="preserve">13 priority appointments </w:t>
      </w:r>
    </w:p>
    <w:p w14:paraId="6A87BFB7" w14:textId="77777777" w:rsidR="004F7697" w:rsidRPr="008E75FC" w:rsidRDefault="004F7697" w:rsidP="004F7697">
      <w:pPr>
        <w:pStyle w:val="ListParagraph"/>
        <w:numPr>
          <w:ilvl w:val="0"/>
          <w:numId w:val="27"/>
        </w:numPr>
        <w:spacing w:after="0"/>
        <w:rPr>
          <w:rFonts w:asciiTheme="minorHAnsi" w:hAnsiTheme="minorHAnsi" w:cstheme="minorHAnsi"/>
          <w:sz w:val="22"/>
          <w:szCs w:val="22"/>
          <w:lang w:val="en-CA"/>
        </w:rPr>
      </w:pPr>
      <w:r w:rsidRPr="008E75FC">
        <w:rPr>
          <w:rFonts w:asciiTheme="minorHAnsi" w:hAnsiTheme="minorHAnsi" w:cstheme="minorHAnsi"/>
          <w:sz w:val="22"/>
          <w:szCs w:val="22"/>
          <w:lang w:val="en-CA"/>
        </w:rPr>
        <w:t xml:space="preserve">16 </w:t>
      </w:r>
      <w:r w:rsidRPr="008E75FC">
        <w:rPr>
          <w:rFonts w:asciiTheme="minorHAnsi" w:hAnsiTheme="minorHAnsi" w:cstheme="minorHAnsi"/>
          <w:color w:val="202124"/>
          <w:sz w:val="22"/>
          <w:szCs w:val="22"/>
          <w:lang w:val="en-CA"/>
        </w:rPr>
        <w:t>appointments from among qualified persons identified in a previous employment equity appointment process</w:t>
      </w:r>
    </w:p>
    <w:p w14:paraId="74D2AF80" w14:textId="77777777" w:rsidR="004F7697" w:rsidRPr="008E75FC" w:rsidRDefault="004F7697" w:rsidP="004F7697">
      <w:pPr>
        <w:pStyle w:val="ListParagraph"/>
        <w:numPr>
          <w:ilvl w:val="0"/>
          <w:numId w:val="27"/>
        </w:numPr>
        <w:spacing w:after="0"/>
        <w:rPr>
          <w:rFonts w:asciiTheme="minorHAnsi" w:hAnsiTheme="minorHAnsi" w:cstheme="minorHAnsi"/>
          <w:b/>
          <w:sz w:val="22"/>
          <w:szCs w:val="22"/>
          <w:lang w:val="en-CA"/>
        </w:rPr>
      </w:pPr>
      <w:r w:rsidRPr="008E75FC">
        <w:rPr>
          <w:rFonts w:asciiTheme="minorHAnsi" w:hAnsiTheme="minorHAnsi" w:cstheme="minorHAnsi"/>
          <w:sz w:val="22"/>
          <w:szCs w:val="22"/>
          <w:lang w:val="en-CA"/>
        </w:rPr>
        <w:t xml:space="preserve">10 appointments under section 43 of the PSEA </w:t>
      </w:r>
    </w:p>
    <w:p w14:paraId="78B3B26B" w14:textId="77777777" w:rsidR="004F7697" w:rsidRPr="008E75FC" w:rsidRDefault="004F7697" w:rsidP="004F7697">
      <w:pPr>
        <w:pStyle w:val="ListParagraph"/>
        <w:numPr>
          <w:ilvl w:val="0"/>
          <w:numId w:val="27"/>
        </w:numPr>
        <w:spacing w:after="0"/>
        <w:rPr>
          <w:rFonts w:asciiTheme="minorHAnsi" w:hAnsiTheme="minorHAnsi" w:cstheme="minorHAnsi"/>
          <w:sz w:val="22"/>
          <w:szCs w:val="22"/>
          <w:lang w:val="en-CA"/>
        </w:rPr>
        <w:sectPr w:rsidR="004F7697" w:rsidRPr="008E75FC" w:rsidSect="005D4281">
          <w:pgSz w:w="12240" w:h="15840"/>
          <w:pgMar w:top="1440" w:right="1080" w:bottom="1440" w:left="1080" w:header="709" w:footer="284" w:gutter="0"/>
          <w:cols w:space="708"/>
          <w:titlePg/>
          <w:docGrid w:linePitch="360"/>
        </w:sectPr>
      </w:pPr>
      <w:r w:rsidRPr="008E75FC">
        <w:rPr>
          <w:rFonts w:asciiTheme="minorHAnsi" w:hAnsiTheme="minorHAnsi" w:cstheme="minorHAnsi"/>
          <w:sz w:val="22"/>
          <w:szCs w:val="22"/>
          <w:lang w:val="en-CA"/>
        </w:rPr>
        <w:t xml:space="preserve">1 </w:t>
      </w:r>
      <w:r w:rsidRPr="008E75FC">
        <w:rPr>
          <w:rFonts w:asciiTheme="minorHAnsi" w:hAnsiTheme="minorHAnsi" w:cstheme="minorHAnsi"/>
          <w:color w:val="202124"/>
          <w:sz w:val="22"/>
          <w:szCs w:val="22"/>
          <w:lang w:val="en-CA"/>
        </w:rPr>
        <w:t>appointment by internal and external process advertised simultaneously</w:t>
      </w:r>
      <w:r w:rsidRPr="008E75FC">
        <w:rPr>
          <w:rFonts w:asciiTheme="minorHAnsi" w:hAnsiTheme="minorHAnsi" w:cstheme="minorHAnsi"/>
          <w:sz w:val="22"/>
          <w:szCs w:val="22"/>
          <w:lang w:val="en-CA"/>
        </w:rPr>
        <w:t xml:space="preserve"> </w:t>
      </w:r>
    </w:p>
    <w:p w14:paraId="7E40DA16" w14:textId="3781D17F" w:rsidR="004F7697" w:rsidRPr="008E75FC" w:rsidRDefault="004F7697" w:rsidP="004F7697">
      <w:pPr>
        <w:pStyle w:val="Caption"/>
        <w:keepNext/>
        <w:spacing w:after="0"/>
        <w:rPr>
          <w:rFonts w:asciiTheme="minorHAnsi" w:hAnsiTheme="minorHAnsi" w:cstheme="minorHAnsi"/>
          <w:i w:val="0"/>
          <w:color w:val="auto"/>
          <w:lang w:val="en-CA"/>
        </w:rPr>
      </w:pPr>
      <w:r w:rsidRPr="008E75FC">
        <w:rPr>
          <w:rFonts w:asciiTheme="minorHAnsi" w:hAnsiTheme="minorHAnsi" w:cstheme="minorHAnsi"/>
          <w:i w:val="0"/>
          <w:color w:val="auto"/>
          <w:lang w:val="en-CA"/>
        </w:rPr>
        <w:lastRenderedPageBreak/>
        <w:t xml:space="preserve">Table </w:t>
      </w:r>
      <w:r w:rsidRPr="008E75FC">
        <w:rPr>
          <w:rFonts w:asciiTheme="minorHAnsi" w:hAnsiTheme="minorHAnsi" w:cstheme="minorHAnsi"/>
          <w:i w:val="0"/>
          <w:color w:val="auto"/>
          <w:lang w:val="en-CA"/>
        </w:rPr>
        <w:fldChar w:fldCharType="begin"/>
      </w:r>
      <w:r w:rsidRPr="008E75FC">
        <w:rPr>
          <w:rFonts w:asciiTheme="minorHAnsi" w:hAnsiTheme="minorHAnsi" w:cstheme="minorHAnsi"/>
          <w:i w:val="0"/>
          <w:color w:val="auto"/>
          <w:lang w:val="en-CA"/>
        </w:rPr>
        <w:instrText xml:space="preserve"> SEQ Table \* ARABIC </w:instrText>
      </w:r>
      <w:r w:rsidRPr="008E75FC">
        <w:rPr>
          <w:rFonts w:asciiTheme="minorHAnsi" w:hAnsiTheme="minorHAnsi" w:cstheme="minorHAnsi"/>
          <w:i w:val="0"/>
          <w:color w:val="auto"/>
          <w:lang w:val="en-CA"/>
        </w:rPr>
        <w:fldChar w:fldCharType="separate"/>
      </w:r>
      <w:r w:rsidR="006632C2" w:rsidRPr="008E75FC">
        <w:rPr>
          <w:rFonts w:asciiTheme="minorHAnsi" w:hAnsiTheme="minorHAnsi" w:cstheme="minorHAnsi"/>
          <w:i w:val="0"/>
          <w:noProof/>
          <w:color w:val="auto"/>
          <w:lang w:val="en-CA"/>
        </w:rPr>
        <w:t>3</w:t>
      </w:r>
      <w:r w:rsidRPr="008E75FC">
        <w:rPr>
          <w:rFonts w:asciiTheme="minorHAnsi" w:hAnsiTheme="minorHAnsi" w:cstheme="minorHAnsi"/>
          <w:i w:val="0"/>
          <w:color w:val="auto"/>
          <w:lang w:val="en-CA"/>
        </w:rPr>
        <w:fldChar w:fldCharType="end"/>
      </w:r>
      <w:r w:rsidRPr="008E75FC">
        <w:rPr>
          <w:rFonts w:asciiTheme="minorHAnsi" w:hAnsiTheme="minorHAnsi" w:cstheme="minorHAnsi"/>
          <w:i w:val="0"/>
          <w:color w:val="auto"/>
          <w:lang w:val="en-CA"/>
        </w:rPr>
        <w:t xml:space="preserve"> - Priority Entitlements and Veterans</w:t>
      </w:r>
    </w:p>
    <w:tbl>
      <w:tblPr>
        <w:tblStyle w:val="TableGrid"/>
        <w:tblW w:w="5000" w:type="pct"/>
        <w:jc w:val="center"/>
        <w:tblLook w:val="04A0" w:firstRow="1" w:lastRow="0" w:firstColumn="1" w:lastColumn="0" w:noHBand="0" w:noVBand="1"/>
        <w:tblDescription w:val="Priority Entitlements and Veterans"/>
      </w:tblPr>
      <w:tblGrid>
        <w:gridCol w:w="2322"/>
        <w:gridCol w:w="2644"/>
        <w:gridCol w:w="3305"/>
        <w:gridCol w:w="1799"/>
      </w:tblGrid>
      <w:tr w:rsidR="004F7697" w:rsidRPr="008E75FC" w14:paraId="44B090E8" w14:textId="77777777" w:rsidTr="00C2396B">
        <w:trPr>
          <w:cantSplit/>
          <w:tblHeader/>
          <w:jc w:val="center"/>
        </w:trPr>
        <w:tc>
          <w:tcPr>
            <w:tcW w:w="1153" w:type="pct"/>
            <w:shd w:val="clear" w:color="auto" w:fill="0070C0"/>
            <w:vAlign w:val="center"/>
          </w:tcPr>
          <w:p w14:paraId="6B8FB93D" w14:textId="133517F2" w:rsidR="004F7697" w:rsidRPr="008E75FC" w:rsidRDefault="004F7697" w:rsidP="004F7697">
            <w:pPr>
              <w:pStyle w:val="TableTitle"/>
              <w:rPr>
                <w:rFonts w:cs="Segoe UI Semibold"/>
                <w:color w:val="FFFFFF" w:themeColor="background1"/>
                <w:sz w:val="22"/>
                <w:lang w:val="en-CA"/>
              </w:rPr>
            </w:pPr>
            <w:r w:rsidRPr="008E75FC">
              <w:rPr>
                <w:rFonts w:cs="Segoe UI Semibold"/>
                <w:color w:val="FFFFFF" w:themeColor="background1"/>
                <w:sz w:val="22"/>
                <w:lang w:val="en-CA"/>
              </w:rPr>
              <w:t>Period</w:t>
            </w:r>
          </w:p>
        </w:tc>
        <w:tc>
          <w:tcPr>
            <w:tcW w:w="1313" w:type="pct"/>
            <w:shd w:val="clear" w:color="auto" w:fill="0070C0"/>
            <w:vAlign w:val="center"/>
          </w:tcPr>
          <w:p w14:paraId="03C25180" w14:textId="30AC92D4" w:rsidR="004F7697" w:rsidRPr="008E75FC" w:rsidRDefault="004F7697" w:rsidP="004F7697">
            <w:pPr>
              <w:pStyle w:val="TableTitle"/>
              <w:rPr>
                <w:rFonts w:cs="Segoe UI Semibold"/>
                <w:b/>
                <w:color w:val="FFFFFF" w:themeColor="background1"/>
                <w:sz w:val="22"/>
                <w:lang w:val="en-CA"/>
              </w:rPr>
            </w:pPr>
            <w:r w:rsidRPr="008E75FC">
              <w:rPr>
                <w:rFonts w:cs="Segoe UI Semibold"/>
                <w:color w:val="FFFFFF" w:themeColor="background1"/>
                <w:sz w:val="22"/>
                <w:lang w:val="en-CA"/>
              </w:rPr>
              <w:t>Attributable To Service (Statutory)</w:t>
            </w:r>
          </w:p>
        </w:tc>
        <w:tc>
          <w:tcPr>
            <w:tcW w:w="1641" w:type="pct"/>
            <w:shd w:val="clear" w:color="auto" w:fill="0070C0"/>
            <w:vAlign w:val="center"/>
          </w:tcPr>
          <w:p w14:paraId="50BD442F" w14:textId="255F3F68" w:rsidR="004F7697" w:rsidRPr="008E75FC" w:rsidRDefault="004F7697" w:rsidP="004F7697">
            <w:pPr>
              <w:pStyle w:val="TableTitle"/>
              <w:rPr>
                <w:rFonts w:cs="Segoe UI Semibold"/>
                <w:b/>
                <w:color w:val="FFFFFF" w:themeColor="background1"/>
                <w:sz w:val="22"/>
                <w:lang w:val="en-CA"/>
              </w:rPr>
            </w:pPr>
            <w:r w:rsidRPr="008E75FC">
              <w:rPr>
                <w:rFonts w:cs="Segoe UI Semibold"/>
                <w:color w:val="FFFFFF" w:themeColor="background1"/>
                <w:sz w:val="22"/>
                <w:lang w:val="en-CA"/>
              </w:rPr>
              <w:t>Not Attributable To Service (Regulatory)</w:t>
            </w:r>
          </w:p>
        </w:tc>
        <w:tc>
          <w:tcPr>
            <w:tcW w:w="893" w:type="pct"/>
            <w:shd w:val="clear" w:color="auto" w:fill="0070C0"/>
            <w:vAlign w:val="center"/>
          </w:tcPr>
          <w:p w14:paraId="07EDB11E" w14:textId="55C8C03F" w:rsidR="004F7697" w:rsidRPr="008E75FC" w:rsidRDefault="004F7697" w:rsidP="004F7697">
            <w:pPr>
              <w:pStyle w:val="TableTitle"/>
              <w:rPr>
                <w:rFonts w:cs="Segoe UI Semibold"/>
                <w:b/>
                <w:color w:val="FFFFFF" w:themeColor="background1"/>
                <w:sz w:val="22"/>
                <w:lang w:val="en-CA"/>
              </w:rPr>
            </w:pPr>
            <w:r w:rsidRPr="008E75FC">
              <w:rPr>
                <w:rFonts w:cs="Segoe UI Semibold"/>
                <w:color w:val="FFFFFF" w:themeColor="background1"/>
                <w:sz w:val="22"/>
                <w:lang w:val="en-CA"/>
              </w:rPr>
              <w:t>Total</w:t>
            </w:r>
          </w:p>
        </w:tc>
      </w:tr>
      <w:tr w:rsidR="004F7697" w:rsidRPr="008E75FC" w14:paraId="330588FD" w14:textId="77777777" w:rsidTr="00C2396B">
        <w:trPr>
          <w:cantSplit/>
          <w:tblHeader/>
          <w:jc w:val="center"/>
        </w:trPr>
        <w:tc>
          <w:tcPr>
            <w:tcW w:w="1153" w:type="pct"/>
            <w:shd w:val="clear" w:color="auto" w:fill="0070C0"/>
          </w:tcPr>
          <w:p w14:paraId="44B3F949" w14:textId="77777777" w:rsidR="004F7697" w:rsidRPr="008E75FC" w:rsidRDefault="004F7697" w:rsidP="004F7697">
            <w:pPr>
              <w:widowControl w:val="0"/>
              <w:tabs>
                <w:tab w:val="left" w:pos="-1440"/>
              </w:tabs>
              <w:autoSpaceDE w:val="0"/>
              <w:autoSpaceDN w:val="0"/>
              <w:adjustRightInd w:val="0"/>
              <w:spacing w:after="120" w:line="20" w:lineRule="atLeast"/>
              <w:rPr>
                <w:rFonts w:asciiTheme="minorHAnsi" w:hAnsiTheme="minorHAnsi" w:cstheme="minorHAnsi"/>
                <w:color w:val="FFFFFF" w:themeColor="background1"/>
                <w:sz w:val="22"/>
                <w:lang w:val="en-CA"/>
              </w:rPr>
            </w:pPr>
            <w:r w:rsidRPr="008E75FC">
              <w:rPr>
                <w:rFonts w:asciiTheme="minorHAnsi" w:hAnsiTheme="minorHAnsi" w:cstheme="minorHAnsi"/>
                <w:color w:val="FFFFFF" w:themeColor="background1"/>
                <w:sz w:val="22"/>
                <w:lang w:val="en-CA"/>
              </w:rPr>
              <w:t>2015 (July 1) - 2016</w:t>
            </w:r>
          </w:p>
        </w:tc>
        <w:tc>
          <w:tcPr>
            <w:tcW w:w="1313" w:type="pct"/>
          </w:tcPr>
          <w:p w14:paraId="476F39AA" w14:textId="77777777" w:rsidR="004F7697" w:rsidRPr="008E75FC" w:rsidRDefault="004F7697" w:rsidP="00775CE4">
            <w:pPr>
              <w:widowControl w:val="0"/>
              <w:tabs>
                <w:tab w:val="left" w:pos="-1440"/>
              </w:tabs>
              <w:autoSpaceDE w:val="0"/>
              <w:autoSpaceDN w:val="0"/>
              <w:adjustRightInd w:val="0"/>
              <w:spacing w:after="120" w:line="20" w:lineRule="atLeast"/>
              <w:jc w:val="center"/>
              <w:rPr>
                <w:rFonts w:asciiTheme="minorHAnsi" w:hAnsiTheme="minorHAnsi" w:cstheme="minorHAnsi"/>
                <w:sz w:val="22"/>
                <w:lang w:val="en-CA"/>
              </w:rPr>
            </w:pPr>
            <w:r w:rsidRPr="008E75FC">
              <w:rPr>
                <w:rFonts w:asciiTheme="minorHAnsi" w:hAnsiTheme="minorHAnsi" w:cstheme="minorHAnsi"/>
                <w:sz w:val="22"/>
                <w:lang w:val="en-CA"/>
              </w:rPr>
              <w:t>0</w:t>
            </w:r>
          </w:p>
        </w:tc>
        <w:tc>
          <w:tcPr>
            <w:tcW w:w="1641" w:type="pct"/>
          </w:tcPr>
          <w:p w14:paraId="110407ED" w14:textId="77777777" w:rsidR="004F7697" w:rsidRPr="008E75FC" w:rsidRDefault="004F7697" w:rsidP="00775CE4">
            <w:pPr>
              <w:widowControl w:val="0"/>
              <w:tabs>
                <w:tab w:val="left" w:pos="-1440"/>
              </w:tabs>
              <w:autoSpaceDE w:val="0"/>
              <w:autoSpaceDN w:val="0"/>
              <w:adjustRightInd w:val="0"/>
              <w:spacing w:after="120" w:line="20" w:lineRule="atLeast"/>
              <w:jc w:val="center"/>
              <w:rPr>
                <w:rFonts w:asciiTheme="minorHAnsi" w:hAnsiTheme="minorHAnsi" w:cstheme="minorHAnsi"/>
                <w:sz w:val="22"/>
                <w:lang w:val="en-CA"/>
              </w:rPr>
            </w:pPr>
            <w:r w:rsidRPr="008E75FC">
              <w:rPr>
                <w:rFonts w:asciiTheme="minorHAnsi" w:hAnsiTheme="minorHAnsi" w:cstheme="minorHAnsi"/>
                <w:sz w:val="22"/>
                <w:lang w:val="en-CA"/>
              </w:rPr>
              <w:t>0</w:t>
            </w:r>
          </w:p>
        </w:tc>
        <w:tc>
          <w:tcPr>
            <w:tcW w:w="893" w:type="pct"/>
          </w:tcPr>
          <w:p w14:paraId="62B0C86A" w14:textId="77777777" w:rsidR="004F7697" w:rsidRPr="008E75FC" w:rsidRDefault="004F7697" w:rsidP="00775CE4">
            <w:pPr>
              <w:widowControl w:val="0"/>
              <w:tabs>
                <w:tab w:val="left" w:pos="-1440"/>
              </w:tabs>
              <w:autoSpaceDE w:val="0"/>
              <w:autoSpaceDN w:val="0"/>
              <w:adjustRightInd w:val="0"/>
              <w:spacing w:after="120" w:line="20" w:lineRule="atLeast"/>
              <w:jc w:val="center"/>
              <w:rPr>
                <w:rFonts w:asciiTheme="minorHAnsi" w:hAnsiTheme="minorHAnsi" w:cstheme="minorHAnsi"/>
                <w:sz w:val="22"/>
                <w:lang w:val="en-CA"/>
              </w:rPr>
            </w:pPr>
            <w:r w:rsidRPr="008E75FC">
              <w:rPr>
                <w:rFonts w:asciiTheme="minorHAnsi" w:hAnsiTheme="minorHAnsi" w:cstheme="minorHAnsi"/>
                <w:sz w:val="22"/>
                <w:lang w:val="en-CA"/>
              </w:rPr>
              <w:t>0</w:t>
            </w:r>
          </w:p>
        </w:tc>
      </w:tr>
      <w:tr w:rsidR="004F7697" w:rsidRPr="008E75FC" w14:paraId="046BD86F" w14:textId="77777777" w:rsidTr="00C2396B">
        <w:trPr>
          <w:cantSplit/>
          <w:tblHeader/>
          <w:jc w:val="center"/>
        </w:trPr>
        <w:tc>
          <w:tcPr>
            <w:tcW w:w="1153" w:type="pct"/>
            <w:shd w:val="clear" w:color="auto" w:fill="0070C0"/>
          </w:tcPr>
          <w:p w14:paraId="76651CC3" w14:textId="77777777" w:rsidR="004F7697" w:rsidRPr="008E75FC" w:rsidRDefault="004F7697" w:rsidP="004F7697">
            <w:pPr>
              <w:widowControl w:val="0"/>
              <w:tabs>
                <w:tab w:val="left" w:pos="-1440"/>
              </w:tabs>
              <w:autoSpaceDE w:val="0"/>
              <w:autoSpaceDN w:val="0"/>
              <w:adjustRightInd w:val="0"/>
              <w:spacing w:after="120" w:line="20" w:lineRule="atLeast"/>
              <w:rPr>
                <w:rFonts w:asciiTheme="minorHAnsi" w:hAnsiTheme="minorHAnsi" w:cstheme="minorHAnsi"/>
                <w:color w:val="FFFFFF" w:themeColor="background1"/>
                <w:sz w:val="22"/>
                <w:lang w:val="en-CA"/>
              </w:rPr>
            </w:pPr>
            <w:r w:rsidRPr="008E75FC">
              <w:rPr>
                <w:rFonts w:asciiTheme="minorHAnsi" w:hAnsiTheme="minorHAnsi" w:cstheme="minorHAnsi"/>
                <w:color w:val="FFFFFF" w:themeColor="background1"/>
                <w:sz w:val="22"/>
                <w:lang w:val="en-CA"/>
              </w:rPr>
              <w:t>2016 - 2017</w:t>
            </w:r>
          </w:p>
        </w:tc>
        <w:tc>
          <w:tcPr>
            <w:tcW w:w="1313" w:type="pct"/>
          </w:tcPr>
          <w:p w14:paraId="200D504A" w14:textId="77777777" w:rsidR="004F7697" w:rsidRPr="008E75FC" w:rsidRDefault="004F7697" w:rsidP="00775CE4">
            <w:pPr>
              <w:widowControl w:val="0"/>
              <w:tabs>
                <w:tab w:val="left" w:pos="-1440"/>
              </w:tabs>
              <w:autoSpaceDE w:val="0"/>
              <w:autoSpaceDN w:val="0"/>
              <w:adjustRightInd w:val="0"/>
              <w:spacing w:after="120" w:line="20" w:lineRule="atLeast"/>
              <w:jc w:val="center"/>
              <w:rPr>
                <w:rFonts w:asciiTheme="minorHAnsi" w:hAnsiTheme="minorHAnsi" w:cstheme="minorHAnsi"/>
                <w:sz w:val="22"/>
                <w:lang w:val="en-CA"/>
              </w:rPr>
            </w:pPr>
            <w:r w:rsidRPr="008E75FC">
              <w:rPr>
                <w:rFonts w:asciiTheme="minorHAnsi" w:hAnsiTheme="minorHAnsi" w:cstheme="minorHAnsi"/>
                <w:sz w:val="22"/>
                <w:lang w:val="en-CA"/>
              </w:rPr>
              <w:t>0</w:t>
            </w:r>
          </w:p>
        </w:tc>
        <w:tc>
          <w:tcPr>
            <w:tcW w:w="1641" w:type="pct"/>
          </w:tcPr>
          <w:p w14:paraId="39CDECA4" w14:textId="77777777" w:rsidR="004F7697" w:rsidRPr="008E75FC" w:rsidRDefault="004F7697" w:rsidP="00775CE4">
            <w:pPr>
              <w:widowControl w:val="0"/>
              <w:tabs>
                <w:tab w:val="left" w:pos="-1440"/>
              </w:tabs>
              <w:autoSpaceDE w:val="0"/>
              <w:autoSpaceDN w:val="0"/>
              <w:adjustRightInd w:val="0"/>
              <w:spacing w:after="120" w:line="20" w:lineRule="atLeast"/>
              <w:jc w:val="center"/>
              <w:rPr>
                <w:rFonts w:asciiTheme="minorHAnsi" w:hAnsiTheme="minorHAnsi" w:cstheme="minorHAnsi"/>
                <w:sz w:val="22"/>
                <w:lang w:val="en-CA"/>
              </w:rPr>
            </w:pPr>
            <w:r w:rsidRPr="008E75FC">
              <w:rPr>
                <w:rFonts w:asciiTheme="minorHAnsi" w:hAnsiTheme="minorHAnsi" w:cstheme="minorHAnsi"/>
                <w:sz w:val="22"/>
                <w:lang w:val="en-CA"/>
              </w:rPr>
              <w:t>0</w:t>
            </w:r>
          </w:p>
        </w:tc>
        <w:tc>
          <w:tcPr>
            <w:tcW w:w="893" w:type="pct"/>
          </w:tcPr>
          <w:p w14:paraId="2BFC2D8A" w14:textId="77777777" w:rsidR="004F7697" w:rsidRPr="008E75FC" w:rsidRDefault="004F7697" w:rsidP="00775CE4">
            <w:pPr>
              <w:widowControl w:val="0"/>
              <w:tabs>
                <w:tab w:val="left" w:pos="-1440"/>
              </w:tabs>
              <w:autoSpaceDE w:val="0"/>
              <w:autoSpaceDN w:val="0"/>
              <w:adjustRightInd w:val="0"/>
              <w:spacing w:after="120" w:line="20" w:lineRule="atLeast"/>
              <w:jc w:val="center"/>
              <w:rPr>
                <w:rFonts w:asciiTheme="minorHAnsi" w:hAnsiTheme="minorHAnsi" w:cstheme="minorHAnsi"/>
                <w:sz w:val="22"/>
                <w:lang w:val="en-CA"/>
              </w:rPr>
            </w:pPr>
            <w:r w:rsidRPr="008E75FC">
              <w:rPr>
                <w:rFonts w:asciiTheme="minorHAnsi" w:hAnsiTheme="minorHAnsi" w:cstheme="minorHAnsi"/>
                <w:sz w:val="22"/>
                <w:lang w:val="en-CA"/>
              </w:rPr>
              <w:t>0</w:t>
            </w:r>
          </w:p>
        </w:tc>
      </w:tr>
      <w:tr w:rsidR="004F7697" w:rsidRPr="008E75FC" w14:paraId="13264C31" w14:textId="77777777" w:rsidTr="00C2396B">
        <w:trPr>
          <w:cantSplit/>
          <w:tblHeader/>
          <w:jc w:val="center"/>
        </w:trPr>
        <w:tc>
          <w:tcPr>
            <w:tcW w:w="1153" w:type="pct"/>
            <w:shd w:val="clear" w:color="auto" w:fill="0070C0"/>
          </w:tcPr>
          <w:p w14:paraId="385AD0DF" w14:textId="77777777" w:rsidR="004F7697" w:rsidRPr="008E75FC" w:rsidRDefault="004F7697" w:rsidP="004F7697">
            <w:pPr>
              <w:widowControl w:val="0"/>
              <w:tabs>
                <w:tab w:val="left" w:pos="-1440"/>
              </w:tabs>
              <w:autoSpaceDE w:val="0"/>
              <w:autoSpaceDN w:val="0"/>
              <w:adjustRightInd w:val="0"/>
              <w:spacing w:after="120" w:line="20" w:lineRule="atLeast"/>
              <w:rPr>
                <w:rFonts w:asciiTheme="minorHAnsi" w:hAnsiTheme="minorHAnsi" w:cstheme="minorHAnsi"/>
                <w:color w:val="FFFFFF" w:themeColor="background1"/>
                <w:sz w:val="22"/>
                <w:lang w:val="en-CA"/>
              </w:rPr>
            </w:pPr>
            <w:r w:rsidRPr="008E75FC">
              <w:rPr>
                <w:rFonts w:asciiTheme="minorHAnsi" w:hAnsiTheme="minorHAnsi" w:cstheme="minorHAnsi"/>
                <w:color w:val="FFFFFF" w:themeColor="background1"/>
                <w:sz w:val="22"/>
                <w:lang w:val="en-CA"/>
              </w:rPr>
              <w:t>2017 - 2018</w:t>
            </w:r>
          </w:p>
        </w:tc>
        <w:tc>
          <w:tcPr>
            <w:tcW w:w="1313" w:type="pct"/>
          </w:tcPr>
          <w:p w14:paraId="0F0BDDD8" w14:textId="77777777" w:rsidR="004F7697" w:rsidRPr="008E75FC" w:rsidRDefault="004F7697" w:rsidP="00775CE4">
            <w:pPr>
              <w:widowControl w:val="0"/>
              <w:tabs>
                <w:tab w:val="left" w:pos="-1440"/>
              </w:tabs>
              <w:autoSpaceDE w:val="0"/>
              <w:autoSpaceDN w:val="0"/>
              <w:adjustRightInd w:val="0"/>
              <w:spacing w:after="120" w:line="20" w:lineRule="atLeast"/>
              <w:jc w:val="center"/>
              <w:rPr>
                <w:rFonts w:asciiTheme="minorHAnsi" w:hAnsiTheme="minorHAnsi" w:cstheme="minorHAnsi"/>
                <w:sz w:val="22"/>
                <w:lang w:val="en-CA"/>
              </w:rPr>
            </w:pPr>
            <w:r w:rsidRPr="008E75FC">
              <w:rPr>
                <w:rFonts w:asciiTheme="minorHAnsi" w:hAnsiTheme="minorHAnsi" w:cstheme="minorHAnsi"/>
                <w:sz w:val="22"/>
                <w:lang w:val="en-CA"/>
              </w:rPr>
              <w:t>0</w:t>
            </w:r>
          </w:p>
        </w:tc>
        <w:tc>
          <w:tcPr>
            <w:tcW w:w="1641" w:type="pct"/>
          </w:tcPr>
          <w:p w14:paraId="554A7159" w14:textId="77777777" w:rsidR="004F7697" w:rsidRPr="008E75FC" w:rsidRDefault="004F7697" w:rsidP="00775CE4">
            <w:pPr>
              <w:widowControl w:val="0"/>
              <w:tabs>
                <w:tab w:val="left" w:pos="-1440"/>
              </w:tabs>
              <w:autoSpaceDE w:val="0"/>
              <w:autoSpaceDN w:val="0"/>
              <w:adjustRightInd w:val="0"/>
              <w:spacing w:after="120" w:line="20" w:lineRule="atLeast"/>
              <w:jc w:val="center"/>
              <w:rPr>
                <w:rFonts w:asciiTheme="minorHAnsi" w:hAnsiTheme="minorHAnsi" w:cstheme="minorHAnsi"/>
                <w:sz w:val="22"/>
                <w:lang w:val="en-CA"/>
              </w:rPr>
            </w:pPr>
            <w:r w:rsidRPr="008E75FC">
              <w:rPr>
                <w:rFonts w:asciiTheme="minorHAnsi" w:hAnsiTheme="minorHAnsi" w:cstheme="minorHAnsi"/>
                <w:sz w:val="22"/>
                <w:lang w:val="en-CA"/>
              </w:rPr>
              <w:t>0</w:t>
            </w:r>
          </w:p>
        </w:tc>
        <w:tc>
          <w:tcPr>
            <w:tcW w:w="893" w:type="pct"/>
          </w:tcPr>
          <w:p w14:paraId="23EB40EB" w14:textId="77777777" w:rsidR="004F7697" w:rsidRPr="008E75FC" w:rsidRDefault="004F7697" w:rsidP="00775CE4">
            <w:pPr>
              <w:widowControl w:val="0"/>
              <w:tabs>
                <w:tab w:val="left" w:pos="-1440"/>
              </w:tabs>
              <w:autoSpaceDE w:val="0"/>
              <w:autoSpaceDN w:val="0"/>
              <w:adjustRightInd w:val="0"/>
              <w:spacing w:after="120" w:line="20" w:lineRule="atLeast"/>
              <w:jc w:val="center"/>
              <w:rPr>
                <w:rFonts w:asciiTheme="minorHAnsi" w:hAnsiTheme="minorHAnsi" w:cstheme="minorHAnsi"/>
                <w:sz w:val="22"/>
                <w:lang w:val="en-CA"/>
              </w:rPr>
            </w:pPr>
            <w:r w:rsidRPr="008E75FC">
              <w:rPr>
                <w:rFonts w:asciiTheme="minorHAnsi" w:hAnsiTheme="minorHAnsi" w:cstheme="minorHAnsi"/>
                <w:sz w:val="22"/>
                <w:lang w:val="en-CA"/>
              </w:rPr>
              <w:t>0</w:t>
            </w:r>
          </w:p>
        </w:tc>
      </w:tr>
      <w:tr w:rsidR="004F7697" w:rsidRPr="008E75FC" w14:paraId="316C2923" w14:textId="77777777" w:rsidTr="00C2396B">
        <w:trPr>
          <w:cantSplit/>
          <w:tblHeader/>
          <w:jc w:val="center"/>
        </w:trPr>
        <w:tc>
          <w:tcPr>
            <w:tcW w:w="1153" w:type="pct"/>
            <w:shd w:val="clear" w:color="auto" w:fill="0070C0"/>
          </w:tcPr>
          <w:p w14:paraId="3F45BEF4" w14:textId="77777777" w:rsidR="004F7697" w:rsidRPr="008E75FC" w:rsidRDefault="004F7697" w:rsidP="004F7697">
            <w:pPr>
              <w:widowControl w:val="0"/>
              <w:tabs>
                <w:tab w:val="left" w:pos="-1440"/>
              </w:tabs>
              <w:autoSpaceDE w:val="0"/>
              <w:autoSpaceDN w:val="0"/>
              <w:adjustRightInd w:val="0"/>
              <w:spacing w:after="120" w:line="20" w:lineRule="atLeast"/>
              <w:rPr>
                <w:rFonts w:asciiTheme="minorHAnsi" w:hAnsiTheme="minorHAnsi" w:cstheme="minorHAnsi"/>
                <w:color w:val="FFFFFF" w:themeColor="background1"/>
                <w:sz w:val="22"/>
                <w:lang w:val="en-CA"/>
              </w:rPr>
            </w:pPr>
            <w:r w:rsidRPr="008E75FC">
              <w:rPr>
                <w:rFonts w:asciiTheme="minorHAnsi" w:hAnsiTheme="minorHAnsi" w:cstheme="minorHAnsi"/>
                <w:color w:val="FFFFFF" w:themeColor="background1"/>
                <w:sz w:val="22"/>
                <w:lang w:val="en-CA"/>
              </w:rPr>
              <w:t>2018 - 2019</w:t>
            </w:r>
          </w:p>
        </w:tc>
        <w:tc>
          <w:tcPr>
            <w:tcW w:w="1313" w:type="pct"/>
          </w:tcPr>
          <w:p w14:paraId="71BB7798" w14:textId="77777777" w:rsidR="004F7697" w:rsidRPr="008E75FC" w:rsidRDefault="004F7697" w:rsidP="00775CE4">
            <w:pPr>
              <w:widowControl w:val="0"/>
              <w:tabs>
                <w:tab w:val="left" w:pos="-1440"/>
              </w:tabs>
              <w:autoSpaceDE w:val="0"/>
              <w:autoSpaceDN w:val="0"/>
              <w:adjustRightInd w:val="0"/>
              <w:spacing w:after="120" w:line="20" w:lineRule="atLeast"/>
              <w:jc w:val="center"/>
              <w:rPr>
                <w:rFonts w:asciiTheme="minorHAnsi" w:hAnsiTheme="minorHAnsi" w:cstheme="minorHAnsi"/>
                <w:sz w:val="22"/>
                <w:lang w:val="en-CA"/>
              </w:rPr>
            </w:pPr>
            <w:r w:rsidRPr="008E75FC">
              <w:rPr>
                <w:rFonts w:asciiTheme="minorHAnsi" w:hAnsiTheme="minorHAnsi" w:cstheme="minorHAnsi"/>
                <w:sz w:val="22"/>
                <w:lang w:val="en-CA"/>
              </w:rPr>
              <w:t>0</w:t>
            </w:r>
          </w:p>
        </w:tc>
        <w:tc>
          <w:tcPr>
            <w:tcW w:w="1641" w:type="pct"/>
          </w:tcPr>
          <w:p w14:paraId="3FE80412" w14:textId="77777777" w:rsidR="004F7697" w:rsidRPr="008E75FC" w:rsidRDefault="004F7697" w:rsidP="00775CE4">
            <w:pPr>
              <w:widowControl w:val="0"/>
              <w:tabs>
                <w:tab w:val="left" w:pos="-1440"/>
              </w:tabs>
              <w:autoSpaceDE w:val="0"/>
              <w:autoSpaceDN w:val="0"/>
              <w:adjustRightInd w:val="0"/>
              <w:spacing w:after="120" w:line="20" w:lineRule="atLeast"/>
              <w:jc w:val="center"/>
              <w:rPr>
                <w:rFonts w:asciiTheme="minorHAnsi" w:hAnsiTheme="minorHAnsi" w:cstheme="minorHAnsi"/>
                <w:sz w:val="22"/>
                <w:lang w:val="en-CA"/>
              </w:rPr>
            </w:pPr>
            <w:r w:rsidRPr="008E75FC">
              <w:rPr>
                <w:rFonts w:asciiTheme="minorHAnsi" w:hAnsiTheme="minorHAnsi" w:cstheme="minorHAnsi"/>
                <w:sz w:val="22"/>
                <w:lang w:val="en-CA"/>
              </w:rPr>
              <w:t>0</w:t>
            </w:r>
          </w:p>
        </w:tc>
        <w:tc>
          <w:tcPr>
            <w:tcW w:w="893" w:type="pct"/>
          </w:tcPr>
          <w:p w14:paraId="42F0F823" w14:textId="77777777" w:rsidR="004F7697" w:rsidRPr="008E75FC" w:rsidRDefault="004F7697" w:rsidP="00775CE4">
            <w:pPr>
              <w:widowControl w:val="0"/>
              <w:tabs>
                <w:tab w:val="left" w:pos="-1440"/>
              </w:tabs>
              <w:autoSpaceDE w:val="0"/>
              <w:autoSpaceDN w:val="0"/>
              <w:adjustRightInd w:val="0"/>
              <w:spacing w:after="120" w:line="20" w:lineRule="atLeast"/>
              <w:jc w:val="center"/>
              <w:rPr>
                <w:rFonts w:asciiTheme="minorHAnsi" w:hAnsiTheme="minorHAnsi" w:cstheme="minorHAnsi"/>
                <w:sz w:val="22"/>
                <w:lang w:val="en-CA"/>
              </w:rPr>
            </w:pPr>
            <w:r w:rsidRPr="008E75FC">
              <w:rPr>
                <w:rFonts w:asciiTheme="minorHAnsi" w:hAnsiTheme="minorHAnsi" w:cstheme="minorHAnsi"/>
                <w:sz w:val="22"/>
                <w:lang w:val="en-CA"/>
              </w:rPr>
              <w:t>0</w:t>
            </w:r>
          </w:p>
        </w:tc>
      </w:tr>
      <w:tr w:rsidR="004F7697" w:rsidRPr="008E75FC" w14:paraId="212550BB" w14:textId="77777777" w:rsidTr="00C2396B">
        <w:trPr>
          <w:cantSplit/>
          <w:tblHeader/>
          <w:jc w:val="center"/>
        </w:trPr>
        <w:tc>
          <w:tcPr>
            <w:tcW w:w="1153" w:type="pct"/>
            <w:shd w:val="clear" w:color="auto" w:fill="0070C0"/>
          </w:tcPr>
          <w:p w14:paraId="1D72F610" w14:textId="77777777" w:rsidR="004F7697" w:rsidRPr="008E75FC" w:rsidRDefault="004F7697" w:rsidP="004F7697">
            <w:pPr>
              <w:widowControl w:val="0"/>
              <w:tabs>
                <w:tab w:val="left" w:pos="-1440"/>
              </w:tabs>
              <w:autoSpaceDE w:val="0"/>
              <w:autoSpaceDN w:val="0"/>
              <w:adjustRightInd w:val="0"/>
              <w:spacing w:after="120" w:line="20" w:lineRule="atLeast"/>
              <w:rPr>
                <w:rFonts w:asciiTheme="minorHAnsi" w:hAnsiTheme="minorHAnsi" w:cstheme="minorHAnsi"/>
                <w:color w:val="FFFFFF" w:themeColor="background1"/>
                <w:sz w:val="22"/>
                <w:lang w:val="en-CA"/>
              </w:rPr>
            </w:pPr>
            <w:r w:rsidRPr="008E75FC">
              <w:rPr>
                <w:rFonts w:asciiTheme="minorHAnsi" w:hAnsiTheme="minorHAnsi" w:cstheme="minorHAnsi"/>
                <w:color w:val="FFFFFF" w:themeColor="background1"/>
                <w:sz w:val="22"/>
                <w:lang w:val="en-CA"/>
              </w:rPr>
              <w:t>2019 - 2020</w:t>
            </w:r>
          </w:p>
        </w:tc>
        <w:tc>
          <w:tcPr>
            <w:tcW w:w="1313" w:type="pct"/>
          </w:tcPr>
          <w:p w14:paraId="5E568F30" w14:textId="77777777" w:rsidR="004F7697" w:rsidRPr="008E75FC" w:rsidRDefault="004F7697" w:rsidP="00775CE4">
            <w:pPr>
              <w:widowControl w:val="0"/>
              <w:tabs>
                <w:tab w:val="left" w:pos="-1440"/>
              </w:tabs>
              <w:autoSpaceDE w:val="0"/>
              <w:autoSpaceDN w:val="0"/>
              <w:adjustRightInd w:val="0"/>
              <w:spacing w:after="120" w:line="20" w:lineRule="atLeast"/>
              <w:jc w:val="center"/>
              <w:rPr>
                <w:rFonts w:asciiTheme="minorHAnsi" w:hAnsiTheme="minorHAnsi" w:cstheme="minorHAnsi"/>
                <w:sz w:val="22"/>
                <w:lang w:val="en-CA"/>
              </w:rPr>
            </w:pPr>
            <w:r w:rsidRPr="008E75FC">
              <w:rPr>
                <w:rFonts w:asciiTheme="minorHAnsi" w:hAnsiTheme="minorHAnsi" w:cstheme="minorHAnsi"/>
                <w:sz w:val="22"/>
                <w:lang w:val="en-CA"/>
              </w:rPr>
              <w:t>1</w:t>
            </w:r>
          </w:p>
        </w:tc>
        <w:tc>
          <w:tcPr>
            <w:tcW w:w="1641" w:type="pct"/>
          </w:tcPr>
          <w:p w14:paraId="39C01A4D" w14:textId="77777777" w:rsidR="004F7697" w:rsidRPr="008E75FC" w:rsidRDefault="004F7697" w:rsidP="00775CE4">
            <w:pPr>
              <w:widowControl w:val="0"/>
              <w:tabs>
                <w:tab w:val="left" w:pos="-1440"/>
              </w:tabs>
              <w:autoSpaceDE w:val="0"/>
              <w:autoSpaceDN w:val="0"/>
              <w:adjustRightInd w:val="0"/>
              <w:spacing w:after="120" w:line="20" w:lineRule="atLeast"/>
              <w:jc w:val="center"/>
              <w:rPr>
                <w:rFonts w:asciiTheme="minorHAnsi" w:hAnsiTheme="minorHAnsi" w:cstheme="minorHAnsi"/>
                <w:sz w:val="22"/>
                <w:lang w:val="en-CA"/>
              </w:rPr>
            </w:pPr>
            <w:r w:rsidRPr="008E75FC">
              <w:rPr>
                <w:rFonts w:asciiTheme="minorHAnsi" w:hAnsiTheme="minorHAnsi" w:cstheme="minorHAnsi"/>
                <w:sz w:val="22"/>
                <w:lang w:val="en-CA"/>
              </w:rPr>
              <w:t>0</w:t>
            </w:r>
          </w:p>
        </w:tc>
        <w:tc>
          <w:tcPr>
            <w:tcW w:w="893" w:type="pct"/>
          </w:tcPr>
          <w:p w14:paraId="19BDCB19" w14:textId="77777777" w:rsidR="004F7697" w:rsidRPr="008E75FC" w:rsidRDefault="004F7697" w:rsidP="00775CE4">
            <w:pPr>
              <w:widowControl w:val="0"/>
              <w:tabs>
                <w:tab w:val="left" w:pos="-1440"/>
              </w:tabs>
              <w:autoSpaceDE w:val="0"/>
              <w:autoSpaceDN w:val="0"/>
              <w:adjustRightInd w:val="0"/>
              <w:spacing w:after="120" w:line="20" w:lineRule="atLeast"/>
              <w:jc w:val="center"/>
              <w:rPr>
                <w:rFonts w:asciiTheme="minorHAnsi" w:hAnsiTheme="minorHAnsi" w:cstheme="minorHAnsi"/>
                <w:sz w:val="22"/>
                <w:lang w:val="en-CA"/>
              </w:rPr>
            </w:pPr>
            <w:r w:rsidRPr="008E75FC">
              <w:rPr>
                <w:rFonts w:asciiTheme="minorHAnsi" w:hAnsiTheme="minorHAnsi" w:cstheme="minorHAnsi"/>
                <w:sz w:val="22"/>
                <w:lang w:val="en-CA"/>
              </w:rPr>
              <w:t>1</w:t>
            </w:r>
          </w:p>
        </w:tc>
      </w:tr>
      <w:tr w:rsidR="004F7697" w:rsidRPr="008E75FC" w14:paraId="018E938D" w14:textId="77777777" w:rsidTr="00C2396B">
        <w:trPr>
          <w:cantSplit/>
          <w:tblHeader/>
          <w:jc w:val="center"/>
        </w:trPr>
        <w:tc>
          <w:tcPr>
            <w:tcW w:w="1153" w:type="pct"/>
            <w:shd w:val="clear" w:color="auto" w:fill="0070C0"/>
          </w:tcPr>
          <w:p w14:paraId="2F96D6D3" w14:textId="77777777" w:rsidR="004F7697" w:rsidRPr="008E75FC" w:rsidRDefault="004F7697" w:rsidP="004F7697">
            <w:pPr>
              <w:widowControl w:val="0"/>
              <w:tabs>
                <w:tab w:val="left" w:pos="-1440"/>
              </w:tabs>
              <w:autoSpaceDE w:val="0"/>
              <w:autoSpaceDN w:val="0"/>
              <w:adjustRightInd w:val="0"/>
              <w:spacing w:after="120" w:line="20" w:lineRule="atLeast"/>
              <w:rPr>
                <w:rFonts w:asciiTheme="minorHAnsi" w:hAnsiTheme="minorHAnsi" w:cstheme="minorHAnsi"/>
                <w:color w:val="FFFFFF" w:themeColor="background1"/>
                <w:sz w:val="22"/>
                <w:lang w:val="en-CA"/>
              </w:rPr>
            </w:pPr>
            <w:r w:rsidRPr="008E75FC">
              <w:rPr>
                <w:rFonts w:asciiTheme="minorHAnsi" w:hAnsiTheme="minorHAnsi" w:cstheme="minorHAnsi"/>
                <w:color w:val="FFFFFF" w:themeColor="background1"/>
                <w:sz w:val="22"/>
                <w:lang w:val="en-CA"/>
              </w:rPr>
              <w:t>2020 - 2021</w:t>
            </w:r>
          </w:p>
        </w:tc>
        <w:tc>
          <w:tcPr>
            <w:tcW w:w="1313" w:type="pct"/>
          </w:tcPr>
          <w:p w14:paraId="48BC1BAB" w14:textId="77777777" w:rsidR="004F7697" w:rsidRPr="008E75FC" w:rsidRDefault="004F7697" w:rsidP="00775CE4">
            <w:pPr>
              <w:widowControl w:val="0"/>
              <w:tabs>
                <w:tab w:val="left" w:pos="-1440"/>
              </w:tabs>
              <w:autoSpaceDE w:val="0"/>
              <w:autoSpaceDN w:val="0"/>
              <w:adjustRightInd w:val="0"/>
              <w:spacing w:after="120" w:line="20" w:lineRule="atLeast"/>
              <w:jc w:val="center"/>
              <w:rPr>
                <w:rFonts w:asciiTheme="minorHAnsi" w:hAnsiTheme="minorHAnsi" w:cstheme="minorHAnsi"/>
                <w:sz w:val="22"/>
                <w:lang w:val="en-CA"/>
              </w:rPr>
            </w:pPr>
            <w:r w:rsidRPr="008E75FC">
              <w:rPr>
                <w:rFonts w:asciiTheme="minorHAnsi" w:hAnsiTheme="minorHAnsi" w:cstheme="minorHAnsi"/>
                <w:sz w:val="22"/>
                <w:lang w:val="en-CA"/>
              </w:rPr>
              <w:t>0</w:t>
            </w:r>
          </w:p>
        </w:tc>
        <w:tc>
          <w:tcPr>
            <w:tcW w:w="1641" w:type="pct"/>
          </w:tcPr>
          <w:p w14:paraId="737E3FBE" w14:textId="77777777" w:rsidR="004F7697" w:rsidRPr="008E75FC" w:rsidRDefault="004F7697" w:rsidP="00775CE4">
            <w:pPr>
              <w:widowControl w:val="0"/>
              <w:tabs>
                <w:tab w:val="left" w:pos="-1440"/>
              </w:tabs>
              <w:autoSpaceDE w:val="0"/>
              <w:autoSpaceDN w:val="0"/>
              <w:adjustRightInd w:val="0"/>
              <w:spacing w:after="120" w:line="20" w:lineRule="atLeast"/>
              <w:jc w:val="center"/>
              <w:rPr>
                <w:rFonts w:asciiTheme="minorHAnsi" w:hAnsiTheme="minorHAnsi" w:cstheme="minorHAnsi"/>
                <w:sz w:val="22"/>
                <w:lang w:val="en-CA"/>
              </w:rPr>
            </w:pPr>
            <w:r w:rsidRPr="008E75FC">
              <w:rPr>
                <w:rFonts w:asciiTheme="minorHAnsi" w:hAnsiTheme="minorHAnsi" w:cstheme="minorHAnsi"/>
                <w:sz w:val="22"/>
                <w:lang w:val="en-CA"/>
              </w:rPr>
              <w:t>0</w:t>
            </w:r>
          </w:p>
        </w:tc>
        <w:tc>
          <w:tcPr>
            <w:tcW w:w="893" w:type="pct"/>
          </w:tcPr>
          <w:p w14:paraId="4D6046F2" w14:textId="77777777" w:rsidR="004F7697" w:rsidRPr="008E75FC" w:rsidRDefault="004F7697" w:rsidP="00775CE4">
            <w:pPr>
              <w:widowControl w:val="0"/>
              <w:tabs>
                <w:tab w:val="left" w:pos="-1440"/>
              </w:tabs>
              <w:autoSpaceDE w:val="0"/>
              <w:autoSpaceDN w:val="0"/>
              <w:adjustRightInd w:val="0"/>
              <w:spacing w:after="120" w:line="20" w:lineRule="atLeast"/>
              <w:jc w:val="center"/>
              <w:rPr>
                <w:rFonts w:asciiTheme="minorHAnsi" w:hAnsiTheme="minorHAnsi" w:cstheme="minorHAnsi"/>
                <w:sz w:val="22"/>
                <w:lang w:val="en-CA"/>
              </w:rPr>
            </w:pPr>
            <w:r w:rsidRPr="008E75FC">
              <w:rPr>
                <w:rFonts w:asciiTheme="minorHAnsi" w:hAnsiTheme="minorHAnsi" w:cstheme="minorHAnsi"/>
                <w:sz w:val="22"/>
                <w:lang w:val="en-CA"/>
              </w:rPr>
              <w:t>0</w:t>
            </w:r>
          </w:p>
        </w:tc>
      </w:tr>
      <w:tr w:rsidR="004F7697" w:rsidRPr="008E75FC" w14:paraId="4CC38A39" w14:textId="77777777" w:rsidTr="00C2396B">
        <w:trPr>
          <w:cantSplit/>
          <w:tblHeader/>
          <w:jc w:val="center"/>
        </w:trPr>
        <w:tc>
          <w:tcPr>
            <w:tcW w:w="1153" w:type="pct"/>
            <w:shd w:val="clear" w:color="auto" w:fill="BAF8FF" w:themeFill="accent3" w:themeFillTint="33"/>
          </w:tcPr>
          <w:p w14:paraId="55BF2F56" w14:textId="77777777" w:rsidR="004F7697" w:rsidRPr="008E75FC" w:rsidRDefault="004F7697" w:rsidP="004F7697">
            <w:pPr>
              <w:widowControl w:val="0"/>
              <w:tabs>
                <w:tab w:val="left" w:pos="-1440"/>
              </w:tabs>
              <w:autoSpaceDE w:val="0"/>
              <w:autoSpaceDN w:val="0"/>
              <w:adjustRightInd w:val="0"/>
              <w:spacing w:after="120" w:line="20" w:lineRule="atLeast"/>
              <w:rPr>
                <w:rFonts w:asciiTheme="minorHAnsi" w:hAnsiTheme="minorHAnsi" w:cstheme="minorHAnsi"/>
                <w:sz w:val="22"/>
                <w:lang w:val="en-CA"/>
              </w:rPr>
            </w:pPr>
            <w:r w:rsidRPr="008E75FC">
              <w:rPr>
                <w:rFonts w:asciiTheme="minorHAnsi" w:hAnsiTheme="minorHAnsi" w:cstheme="minorHAnsi"/>
                <w:sz w:val="22"/>
                <w:lang w:val="en-CA"/>
              </w:rPr>
              <w:t>Total</w:t>
            </w:r>
          </w:p>
        </w:tc>
        <w:tc>
          <w:tcPr>
            <w:tcW w:w="1313" w:type="pct"/>
            <w:shd w:val="clear" w:color="auto" w:fill="BAF8FF" w:themeFill="accent3" w:themeFillTint="33"/>
          </w:tcPr>
          <w:p w14:paraId="2287C90B" w14:textId="77777777" w:rsidR="004F7697" w:rsidRPr="008E75FC" w:rsidRDefault="004F7697" w:rsidP="00775CE4">
            <w:pPr>
              <w:widowControl w:val="0"/>
              <w:tabs>
                <w:tab w:val="left" w:pos="-1440"/>
              </w:tabs>
              <w:autoSpaceDE w:val="0"/>
              <w:autoSpaceDN w:val="0"/>
              <w:adjustRightInd w:val="0"/>
              <w:spacing w:after="120" w:line="20" w:lineRule="atLeast"/>
              <w:jc w:val="center"/>
              <w:rPr>
                <w:rFonts w:asciiTheme="minorHAnsi" w:hAnsiTheme="minorHAnsi" w:cstheme="minorHAnsi"/>
                <w:sz w:val="22"/>
                <w:lang w:val="en-CA"/>
              </w:rPr>
            </w:pPr>
            <w:r w:rsidRPr="008E75FC">
              <w:rPr>
                <w:rFonts w:asciiTheme="minorHAnsi" w:hAnsiTheme="minorHAnsi" w:cstheme="minorHAnsi"/>
                <w:sz w:val="22"/>
                <w:lang w:val="en-CA"/>
              </w:rPr>
              <w:t>1</w:t>
            </w:r>
          </w:p>
        </w:tc>
        <w:tc>
          <w:tcPr>
            <w:tcW w:w="1641" w:type="pct"/>
            <w:shd w:val="clear" w:color="auto" w:fill="BAF8FF" w:themeFill="accent3" w:themeFillTint="33"/>
          </w:tcPr>
          <w:p w14:paraId="4E385EEC" w14:textId="77777777" w:rsidR="004F7697" w:rsidRPr="008E75FC" w:rsidRDefault="004F7697" w:rsidP="00775CE4">
            <w:pPr>
              <w:widowControl w:val="0"/>
              <w:tabs>
                <w:tab w:val="left" w:pos="-1440"/>
              </w:tabs>
              <w:autoSpaceDE w:val="0"/>
              <w:autoSpaceDN w:val="0"/>
              <w:adjustRightInd w:val="0"/>
              <w:spacing w:after="120" w:line="20" w:lineRule="atLeast"/>
              <w:jc w:val="center"/>
              <w:rPr>
                <w:rFonts w:asciiTheme="minorHAnsi" w:hAnsiTheme="minorHAnsi" w:cstheme="minorHAnsi"/>
                <w:sz w:val="22"/>
                <w:lang w:val="en-CA"/>
              </w:rPr>
            </w:pPr>
            <w:r w:rsidRPr="008E75FC">
              <w:rPr>
                <w:rFonts w:asciiTheme="minorHAnsi" w:hAnsiTheme="minorHAnsi" w:cstheme="minorHAnsi"/>
                <w:sz w:val="22"/>
                <w:lang w:val="en-CA"/>
              </w:rPr>
              <w:t>0</w:t>
            </w:r>
          </w:p>
        </w:tc>
        <w:tc>
          <w:tcPr>
            <w:tcW w:w="893" w:type="pct"/>
            <w:shd w:val="clear" w:color="auto" w:fill="BAF8FF" w:themeFill="accent3" w:themeFillTint="33"/>
          </w:tcPr>
          <w:p w14:paraId="639E58DA" w14:textId="77777777" w:rsidR="004F7697" w:rsidRPr="008E75FC" w:rsidRDefault="004F7697" w:rsidP="00775CE4">
            <w:pPr>
              <w:widowControl w:val="0"/>
              <w:tabs>
                <w:tab w:val="left" w:pos="-1440"/>
              </w:tabs>
              <w:autoSpaceDE w:val="0"/>
              <w:autoSpaceDN w:val="0"/>
              <w:adjustRightInd w:val="0"/>
              <w:spacing w:after="120" w:line="20" w:lineRule="atLeast"/>
              <w:jc w:val="center"/>
              <w:rPr>
                <w:rFonts w:asciiTheme="minorHAnsi" w:hAnsiTheme="minorHAnsi" w:cstheme="minorHAnsi"/>
                <w:sz w:val="22"/>
                <w:lang w:val="en-CA"/>
              </w:rPr>
            </w:pPr>
            <w:r w:rsidRPr="008E75FC">
              <w:rPr>
                <w:rFonts w:asciiTheme="minorHAnsi" w:hAnsiTheme="minorHAnsi" w:cstheme="minorHAnsi"/>
                <w:sz w:val="22"/>
                <w:lang w:val="en-CA"/>
              </w:rPr>
              <w:t>1</w:t>
            </w:r>
          </w:p>
        </w:tc>
      </w:tr>
    </w:tbl>
    <w:p w14:paraId="049A7D2F" w14:textId="58DDD325" w:rsidR="004F7697" w:rsidRPr="008E75FC" w:rsidRDefault="004F7697" w:rsidP="004F7697">
      <w:pPr>
        <w:pStyle w:val="Level1"/>
        <w:tabs>
          <w:tab w:val="left" w:pos="-1440"/>
        </w:tabs>
        <w:autoSpaceDE w:val="0"/>
        <w:autoSpaceDN w:val="0"/>
        <w:adjustRightInd w:val="0"/>
        <w:spacing w:after="120" w:line="20" w:lineRule="atLeast"/>
        <w:rPr>
          <w:rFonts w:asciiTheme="minorHAnsi" w:hAnsiTheme="minorHAnsi" w:cstheme="minorHAnsi"/>
          <w:sz w:val="22"/>
          <w:szCs w:val="22"/>
          <w:lang w:val="en-CA"/>
        </w:rPr>
      </w:pPr>
      <w:r w:rsidRPr="008E75FC">
        <w:rPr>
          <w:rFonts w:asciiTheme="minorHAnsi" w:hAnsiTheme="minorHAnsi" w:cstheme="minorHAnsi"/>
          <w:sz w:val="22"/>
          <w:szCs w:val="22"/>
          <w:lang w:val="en-CA"/>
        </w:rPr>
        <w:t>Source: Priority Information Management System</w:t>
      </w:r>
    </w:p>
    <w:p w14:paraId="22ABA54F" w14:textId="368E2E5B" w:rsidR="00AA03F8" w:rsidRPr="008E75FC" w:rsidRDefault="00122AE9" w:rsidP="007F1DE2">
      <w:pPr>
        <w:pStyle w:val="Heading1"/>
        <w:spacing w:after="120"/>
        <w:rPr>
          <w:lang w:val="en-CA"/>
        </w:rPr>
      </w:pPr>
      <w:r w:rsidRPr="008E75FC">
        <w:rPr>
          <w:lang w:val="en-CA"/>
        </w:rPr>
        <w:t>No</w:t>
      </w:r>
      <w:r w:rsidR="00B132A9" w:rsidRPr="008E75FC">
        <w:rPr>
          <w:lang w:val="en-CA"/>
        </w:rPr>
        <w:t>n-Partisanship in the Public Service</w:t>
      </w:r>
    </w:p>
    <w:p w14:paraId="483F485F" w14:textId="39FEA0D4" w:rsidR="00F703E0" w:rsidRPr="008E75FC" w:rsidRDefault="009E5234" w:rsidP="00B7094B">
      <w:pPr>
        <w:spacing w:after="120"/>
        <w:rPr>
          <w:rFonts w:asciiTheme="minorHAnsi" w:hAnsiTheme="minorHAnsi" w:cstheme="minorHAnsi"/>
          <w:sz w:val="22"/>
          <w:szCs w:val="22"/>
          <w:lang w:val="en-CA" w:eastAsia="en-CA"/>
        </w:rPr>
      </w:pPr>
      <w:r w:rsidRPr="008E75FC">
        <w:rPr>
          <w:rFonts w:asciiTheme="minorHAnsi" w:hAnsiTheme="minorHAnsi" w:cstheme="minorHAnsi"/>
          <w:sz w:val="22"/>
          <w:szCs w:val="22"/>
          <w:lang w:val="en-CA" w:eastAsia="en-CA"/>
        </w:rPr>
        <w:t xml:space="preserve">Since April 1, 2015, the PSC has handled four requests for permission (one federal, one provincial and two municipal) from INAC. Currently, one </w:t>
      </w:r>
      <w:r w:rsidR="008207AC" w:rsidRPr="008E75FC">
        <w:rPr>
          <w:rFonts w:asciiTheme="minorHAnsi" w:hAnsiTheme="minorHAnsi" w:cstheme="minorHAnsi"/>
          <w:sz w:val="22"/>
          <w:szCs w:val="22"/>
          <w:lang w:val="en-CA" w:eastAsia="en-CA"/>
        </w:rPr>
        <w:t>departmental employee</w:t>
      </w:r>
      <w:r w:rsidR="008D272A" w:rsidRPr="008E75FC">
        <w:rPr>
          <w:rFonts w:asciiTheme="minorHAnsi" w:hAnsiTheme="minorHAnsi" w:cstheme="minorHAnsi"/>
          <w:sz w:val="22"/>
          <w:szCs w:val="22"/>
          <w:lang w:val="en-CA" w:eastAsia="en-CA"/>
        </w:rPr>
        <w:t xml:space="preserve"> is a part</w:t>
      </w:r>
      <w:r w:rsidR="008D272A" w:rsidRPr="008E75FC">
        <w:rPr>
          <w:rFonts w:asciiTheme="minorHAnsi" w:hAnsiTheme="minorHAnsi" w:cstheme="minorHAnsi"/>
          <w:sz w:val="22"/>
          <w:szCs w:val="22"/>
          <w:lang w:val="en-CA" w:eastAsia="en-CA"/>
        </w:rPr>
        <w:noBreakHyphen/>
      </w:r>
      <w:r w:rsidRPr="008E75FC">
        <w:rPr>
          <w:rFonts w:asciiTheme="minorHAnsi" w:hAnsiTheme="minorHAnsi" w:cstheme="minorHAnsi"/>
          <w:sz w:val="22"/>
          <w:szCs w:val="22"/>
          <w:lang w:val="en-CA" w:eastAsia="en-CA"/>
        </w:rPr>
        <w:t>time municipal elected official.</w:t>
      </w:r>
    </w:p>
    <w:p w14:paraId="2420C7F4" w14:textId="67B2864D" w:rsidR="00F703E0" w:rsidRPr="008E75FC" w:rsidRDefault="008D272A" w:rsidP="00B7094B">
      <w:pPr>
        <w:spacing w:after="120"/>
        <w:rPr>
          <w:rFonts w:asciiTheme="minorHAnsi" w:hAnsiTheme="minorHAnsi" w:cstheme="minorHAnsi"/>
          <w:noProof/>
          <w:sz w:val="22"/>
          <w:szCs w:val="22"/>
          <w:lang w:val="en-CA" w:eastAsia="en-CA"/>
        </w:rPr>
      </w:pPr>
      <w:r w:rsidRPr="008E75FC">
        <w:rPr>
          <w:rFonts w:asciiTheme="minorHAnsi" w:hAnsiTheme="minorHAnsi" w:cstheme="minorHAnsi"/>
          <w:sz w:val="22"/>
          <w:szCs w:val="22"/>
          <w:lang w:val="en-CA" w:eastAsia="en-CA"/>
        </w:rPr>
        <w:t>According to the results of the 2018 S</w:t>
      </w:r>
      <w:r w:rsidR="00941F6F" w:rsidRPr="008E75FC">
        <w:rPr>
          <w:rFonts w:asciiTheme="minorHAnsi" w:hAnsiTheme="minorHAnsi" w:cstheme="minorHAnsi"/>
          <w:sz w:val="22"/>
          <w:szCs w:val="22"/>
          <w:lang w:val="en-CA" w:eastAsia="en-CA"/>
        </w:rPr>
        <w:t>taffing and Non-Partisan Survey</w:t>
      </w:r>
      <w:r w:rsidRPr="008E75FC">
        <w:rPr>
          <w:rFonts w:asciiTheme="minorHAnsi" w:hAnsiTheme="minorHAnsi" w:cstheme="minorHAnsi"/>
          <w:sz w:val="22"/>
          <w:szCs w:val="22"/>
          <w:lang w:val="en-CA" w:eastAsia="en-CA"/>
        </w:rPr>
        <w:t xml:space="preserve">, the level of awareness among INAC employees of their rights and responsibilities for engaging in political activities is </w:t>
      </w:r>
      <w:r w:rsidRPr="008E75FC">
        <w:rPr>
          <w:rFonts w:asciiTheme="minorHAnsi" w:hAnsiTheme="minorHAnsi" w:cstheme="minorHAnsi"/>
          <w:bCs/>
          <w:sz w:val="22"/>
          <w:szCs w:val="22"/>
          <w:lang w:val="en-CA"/>
        </w:rPr>
        <w:t>80</w:t>
      </w:r>
      <w:r w:rsidRPr="008E75FC">
        <w:rPr>
          <w:rFonts w:asciiTheme="minorHAnsi" w:hAnsiTheme="minorHAnsi" w:cstheme="minorHAnsi"/>
          <w:sz w:val="22"/>
          <w:szCs w:val="22"/>
          <w:lang w:val="en-CA"/>
        </w:rPr>
        <w:t>.4</w:t>
      </w:r>
      <w:r w:rsidRPr="008E75FC">
        <w:rPr>
          <w:rFonts w:asciiTheme="minorHAnsi" w:hAnsiTheme="minorHAnsi" w:cstheme="minorHAnsi"/>
          <w:bCs/>
          <w:sz w:val="22"/>
          <w:szCs w:val="22"/>
          <w:lang w:val="en-CA"/>
        </w:rPr>
        <w:t xml:space="preserve">% </w:t>
      </w:r>
      <w:r w:rsidR="005346A5" w:rsidRPr="008E75FC">
        <w:rPr>
          <w:rFonts w:asciiTheme="minorHAnsi" w:hAnsiTheme="minorHAnsi" w:cstheme="minorHAnsi"/>
          <w:bCs/>
          <w:sz w:val="22"/>
          <w:szCs w:val="22"/>
          <w:lang w:val="en-CA"/>
        </w:rPr>
        <w:t xml:space="preserve">as compared to </w:t>
      </w:r>
      <w:r w:rsidRPr="008E75FC">
        <w:rPr>
          <w:rFonts w:asciiTheme="minorHAnsi" w:hAnsiTheme="minorHAnsi" w:cstheme="minorHAnsi"/>
          <w:bCs/>
          <w:sz w:val="22"/>
          <w:szCs w:val="22"/>
          <w:lang w:val="en-CA"/>
        </w:rPr>
        <w:t>80.1</w:t>
      </w:r>
      <w:r w:rsidR="00941F6F" w:rsidRPr="008E75FC">
        <w:rPr>
          <w:rFonts w:asciiTheme="minorHAnsi" w:hAnsiTheme="minorHAnsi" w:cstheme="minorHAnsi"/>
          <w:bCs/>
          <w:sz w:val="22"/>
          <w:szCs w:val="22"/>
          <w:lang w:val="en-CA"/>
        </w:rPr>
        <w:t xml:space="preserve">% across the entire </w:t>
      </w:r>
      <w:r w:rsidRPr="008E75FC">
        <w:rPr>
          <w:rFonts w:asciiTheme="minorHAnsi" w:hAnsiTheme="minorHAnsi" w:cstheme="minorHAnsi"/>
          <w:bCs/>
          <w:sz w:val="22"/>
          <w:szCs w:val="22"/>
          <w:lang w:val="en-CA"/>
        </w:rPr>
        <w:t>public service.</w:t>
      </w:r>
      <w:r w:rsidR="00F703E0" w:rsidRPr="008E75FC">
        <w:rPr>
          <w:rFonts w:asciiTheme="minorHAnsi" w:hAnsiTheme="minorHAnsi" w:cstheme="minorHAnsi"/>
          <w:bCs/>
          <w:sz w:val="22"/>
          <w:szCs w:val="22"/>
          <w:lang w:val="en-CA"/>
        </w:rPr>
        <w:t xml:space="preserve"> </w:t>
      </w:r>
      <w:r w:rsidR="00CA3F1F" w:rsidRPr="008E75FC">
        <w:rPr>
          <w:rFonts w:asciiTheme="minorHAnsi" w:hAnsiTheme="minorHAnsi" w:cstheme="minorHAnsi"/>
          <w:sz w:val="22"/>
          <w:szCs w:val="22"/>
          <w:lang w:val="en-CA"/>
        </w:rPr>
        <w:t>In addition, 92.3</w:t>
      </w:r>
      <w:r w:rsidR="00F703E0" w:rsidRPr="008E75FC">
        <w:rPr>
          <w:rFonts w:asciiTheme="minorHAnsi" w:hAnsiTheme="minorHAnsi" w:cstheme="minorHAnsi"/>
          <w:sz w:val="22"/>
          <w:szCs w:val="22"/>
          <w:lang w:val="en-CA"/>
        </w:rPr>
        <w:t>%</w:t>
      </w:r>
      <w:r w:rsidR="00CA3F1F" w:rsidRPr="008E75FC">
        <w:rPr>
          <w:rFonts w:asciiTheme="minorHAnsi" w:hAnsiTheme="minorHAnsi" w:cstheme="minorHAnsi"/>
          <w:sz w:val="22"/>
          <w:szCs w:val="22"/>
          <w:lang w:val="en-CA"/>
        </w:rPr>
        <w:t xml:space="preserve"> of employees understand their responsibilities to be politically impartial in carrying out their duties as public servants</w:t>
      </w:r>
      <w:r w:rsidR="00941F6F" w:rsidRPr="008E75FC">
        <w:rPr>
          <w:rFonts w:asciiTheme="minorHAnsi" w:hAnsiTheme="minorHAnsi" w:cstheme="minorHAnsi"/>
          <w:sz w:val="22"/>
          <w:szCs w:val="22"/>
          <w:lang w:val="en-CA"/>
        </w:rPr>
        <w:t xml:space="preserve">. This </w:t>
      </w:r>
      <w:r w:rsidR="00CA3F1F" w:rsidRPr="008E75FC">
        <w:rPr>
          <w:rFonts w:asciiTheme="minorHAnsi" w:hAnsiTheme="minorHAnsi" w:cstheme="minorHAnsi"/>
          <w:sz w:val="22"/>
          <w:szCs w:val="22"/>
          <w:lang w:val="en-CA"/>
        </w:rPr>
        <w:t>percentage</w:t>
      </w:r>
      <w:r w:rsidR="00941F6F" w:rsidRPr="008E75FC">
        <w:rPr>
          <w:rFonts w:asciiTheme="minorHAnsi" w:hAnsiTheme="minorHAnsi" w:cstheme="minorHAnsi"/>
          <w:sz w:val="22"/>
          <w:szCs w:val="22"/>
          <w:lang w:val="en-CA"/>
        </w:rPr>
        <w:t xml:space="preserve"> is </w:t>
      </w:r>
      <w:r w:rsidR="008207AC" w:rsidRPr="008E75FC">
        <w:rPr>
          <w:rFonts w:asciiTheme="minorHAnsi" w:hAnsiTheme="minorHAnsi" w:cstheme="minorHAnsi"/>
          <w:sz w:val="22"/>
          <w:szCs w:val="22"/>
          <w:lang w:val="en-CA"/>
        </w:rPr>
        <w:t xml:space="preserve">identical in </w:t>
      </w:r>
      <w:r w:rsidR="00CA3F1F" w:rsidRPr="008E75FC">
        <w:rPr>
          <w:rFonts w:asciiTheme="minorHAnsi" w:hAnsiTheme="minorHAnsi" w:cstheme="minorHAnsi"/>
          <w:sz w:val="22"/>
          <w:szCs w:val="22"/>
          <w:lang w:val="en-CA"/>
        </w:rPr>
        <w:t>the federal public</w:t>
      </w:r>
      <w:r w:rsidR="00941F6F" w:rsidRPr="008E75FC">
        <w:rPr>
          <w:rFonts w:asciiTheme="minorHAnsi" w:hAnsiTheme="minorHAnsi" w:cstheme="minorHAnsi"/>
          <w:sz w:val="22"/>
          <w:szCs w:val="22"/>
          <w:lang w:val="en-CA"/>
        </w:rPr>
        <w:t xml:space="preserve"> service as a whole</w:t>
      </w:r>
      <w:r w:rsidR="00CA3F1F" w:rsidRPr="008E75FC">
        <w:rPr>
          <w:rFonts w:asciiTheme="minorHAnsi" w:hAnsiTheme="minorHAnsi" w:cstheme="minorHAnsi"/>
          <w:sz w:val="22"/>
          <w:szCs w:val="22"/>
          <w:lang w:val="en-CA"/>
        </w:rPr>
        <w:t>.</w:t>
      </w:r>
      <w:r w:rsidR="00F703E0" w:rsidRPr="008E75FC">
        <w:rPr>
          <w:rFonts w:asciiTheme="minorHAnsi" w:hAnsiTheme="minorHAnsi" w:cstheme="minorHAnsi"/>
          <w:noProof/>
          <w:sz w:val="22"/>
          <w:szCs w:val="22"/>
          <w:lang w:val="en-CA" w:eastAsia="en-CA"/>
        </w:rPr>
        <w:t xml:space="preserve"> </w:t>
      </w:r>
    </w:p>
    <w:p w14:paraId="5998D6D3" w14:textId="70985ADB" w:rsidR="00F703E0" w:rsidRPr="008E75FC" w:rsidRDefault="00CA3F1F" w:rsidP="00B7094B">
      <w:pPr>
        <w:spacing w:after="120"/>
        <w:rPr>
          <w:rFonts w:asciiTheme="minorHAnsi" w:hAnsiTheme="minorHAnsi" w:cstheme="minorHAnsi"/>
          <w:sz w:val="22"/>
          <w:szCs w:val="22"/>
          <w:lang w:val="en-CA" w:eastAsia="en-CA"/>
        </w:rPr>
      </w:pPr>
      <w:r w:rsidRPr="008E75FC">
        <w:rPr>
          <w:rFonts w:asciiTheme="minorHAnsi" w:hAnsiTheme="minorHAnsi" w:cstheme="minorHAnsi"/>
          <w:sz w:val="22"/>
          <w:szCs w:val="22"/>
          <w:lang w:val="en-CA" w:eastAsia="en-CA"/>
        </w:rPr>
        <w:t xml:space="preserve">André Picard is the Designated Political Activities Representative (DPAR) for ISC. The DPAR liaises with the PSC on matters of political activity and impartiality. </w:t>
      </w:r>
    </w:p>
    <w:p w14:paraId="39108F03" w14:textId="3236EC27" w:rsidR="00AA03F8" w:rsidRPr="008E75FC" w:rsidRDefault="00B132A9" w:rsidP="007F1DE2">
      <w:pPr>
        <w:pStyle w:val="Heading1"/>
        <w:spacing w:after="120"/>
        <w:rPr>
          <w:lang w:val="en-CA"/>
        </w:rPr>
      </w:pPr>
      <w:r w:rsidRPr="008E75FC">
        <w:rPr>
          <w:lang w:val="en-CA"/>
        </w:rPr>
        <w:t>PSC Initiatives</w:t>
      </w:r>
    </w:p>
    <w:p w14:paraId="38013179" w14:textId="58FB8198" w:rsidR="000D61F6" w:rsidRPr="008E75FC" w:rsidRDefault="006C68A2" w:rsidP="00B7094B">
      <w:pPr>
        <w:spacing w:after="120"/>
        <w:rPr>
          <w:rFonts w:asciiTheme="minorHAnsi" w:hAnsiTheme="minorHAnsi" w:cstheme="minorHAnsi"/>
          <w:sz w:val="22"/>
          <w:szCs w:val="22"/>
          <w:lang w:val="en-CA"/>
        </w:rPr>
      </w:pPr>
      <w:r w:rsidRPr="008E75FC">
        <w:rPr>
          <w:rFonts w:asciiTheme="minorHAnsi" w:hAnsiTheme="minorHAnsi" w:cstheme="minorHAnsi"/>
          <w:sz w:val="22"/>
          <w:szCs w:val="22"/>
          <w:lang w:val="en-CA"/>
        </w:rPr>
        <w:t xml:space="preserve">The </w:t>
      </w:r>
      <w:r w:rsidR="0078009E" w:rsidRPr="008E75FC">
        <w:rPr>
          <w:rFonts w:asciiTheme="minorHAnsi" w:hAnsiTheme="minorHAnsi" w:cstheme="minorHAnsi"/>
          <w:sz w:val="22"/>
          <w:szCs w:val="22"/>
          <w:lang w:val="en-CA"/>
        </w:rPr>
        <w:t>PSC</w:t>
      </w:r>
      <w:r w:rsidRPr="008E75FC">
        <w:rPr>
          <w:rFonts w:asciiTheme="minorHAnsi" w:hAnsiTheme="minorHAnsi" w:cstheme="minorHAnsi"/>
          <w:sz w:val="22"/>
          <w:szCs w:val="22"/>
          <w:lang w:val="en-CA"/>
        </w:rPr>
        <w:t xml:space="preserve"> </w:t>
      </w:r>
      <w:r w:rsidR="008207AC" w:rsidRPr="008E75FC">
        <w:rPr>
          <w:rFonts w:asciiTheme="minorHAnsi" w:hAnsiTheme="minorHAnsi" w:cstheme="minorHAnsi"/>
          <w:sz w:val="22"/>
          <w:szCs w:val="22"/>
          <w:lang w:val="en-CA"/>
        </w:rPr>
        <w:t xml:space="preserve">has </w:t>
      </w:r>
      <w:r w:rsidRPr="008E75FC">
        <w:rPr>
          <w:rFonts w:asciiTheme="minorHAnsi" w:hAnsiTheme="minorHAnsi" w:cstheme="minorHAnsi"/>
          <w:sz w:val="22"/>
          <w:szCs w:val="22"/>
          <w:lang w:val="en-CA"/>
        </w:rPr>
        <w:t>launched a pilot pro</w:t>
      </w:r>
      <w:r w:rsidR="0078009E" w:rsidRPr="008E75FC">
        <w:rPr>
          <w:rFonts w:asciiTheme="minorHAnsi" w:hAnsiTheme="minorHAnsi" w:cstheme="minorHAnsi"/>
          <w:sz w:val="22"/>
          <w:szCs w:val="22"/>
          <w:lang w:val="en-CA"/>
        </w:rPr>
        <w:t xml:space="preserve">ject </w:t>
      </w:r>
      <w:r w:rsidRPr="008E75FC">
        <w:rPr>
          <w:rFonts w:asciiTheme="minorHAnsi" w:hAnsiTheme="minorHAnsi" w:cstheme="minorHAnsi"/>
          <w:sz w:val="22"/>
          <w:szCs w:val="22"/>
          <w:lang w:val="en-CA"/>
        </w:rPr>
        <w:t>called the Employee Referral Program and</w:t>
      </w:r>
      <w:r w:rsidR="008207AC" w:rsidRPr="008E75FC">
        <w:rPr>
          <w:rFonts w:asciiTheme="minorHAnsi" w:hAnsiTheme="minorHAnsi" w:cstheme="minorHAnsi"/>
          <w:sz w:val="22"/>
          <w:szCs w:val="22"/>
          <w:lang w:val="en-CA"/>
        </w:rPr>
        <w:t xml:space="preserve"> has</w:t>
      </w:r>
      <w:r w:rsidR="0078009E" w:rsidRPr="008E75FC">
        <w:rPr>
          <w:rFonts w:asciiTheme="minorHAnsi" w:hAnsiTheme="minorHAnsi" w:cstheme="minorHAnsi"/>
          <w:sz w:val="22"/>
          <w:szCs w:val="22"/>
          <w:lang w:val="en-CA"/>
        </w:rPr>
        <w:t xml:space="preserve"> </w:t>
      </w:r>
      <w:r w:rsidRPr="008E75FC">
        <w:rPr>
          <w:rFonts w:asciiTheme="minorHAnsi" w:hAnsiTheme="minorHAnsi" w:cstheme="minorHAnsi"/>
          <w:sz w:val="22"/>
          <w:szCs w:val="22"/>
          <w:lang w:val="en-CA"/>
        </w:rPr>
        <w:t xml:space="preserve">developed tools to support organizations interested in launching such a program. </w:t>
      </w:r>
      <w:r w:rsidR="0078009E" w:rsidRPr="008E75FC">
        <w:rPr>
          <w:rFonts w:asciiTheme="minorHAnsi" w:hAnsiTheme="minorHAnsi" w:cstheme="minorHAnsi"/>
          <w:sz w:val="22"/>
          <w:szCs w:val="22"/>
          <w:lang w:val="en-CA"/>
        </w:rPr>
        <w:t>In addition to these tools, t</w:t>
      </w:r>
      <w:r w:rsidRPr="008E75FC">
        <w:rPr>
          <w:rFonts w:asciiTheme="minorHAnsi" w:hAnsiTheme="minorHAnsi" w:cstheme="minorHAnsi"/>
          <w:sz w:val="22"/>
          <w:szCs w:val="22"/>
          <w:lang w:val="en-CA"/>
        </w:rPr>
        <w:t xml:space="preserve">he PSC will soon be publishing its project report, which will include best practices for </w:t>
      </w:r>
      <w:r w:rsidR="00375D78" w:rsidRPr="008E75FC">
        <w:rPr>
          <w:rFonts w:asciiTheme="minorHAnsi" w:hAnsiTheme="minorHAnsi" w:cstheme="minorHAnsi"/>
          <w:sz w:val="22"/>
          <w:szCs w:val="22"/>
          <w:lang w:val="en-CA"/>
        </w:rPr>
        <w:t>setting up</w:t>
      </w:r>
      <w:r w:rsidRPr="008E75FC">
        <w:rPr>
          <w:rFonts w:asciiTheme="minorHAnsi" w:hAnsiTheme="minorHAnsi" w:cstheme="minorHAnsi"/>
          <w:sz w:val="22"/>
          <w:szCs w:val="22"/>
          <w:lang w:val="en-CA"/>
        </w:rPr>
        <w:t xml:space="preserve"> </w:t>
      </w:r>
      <w:r w:rsidR="00375D78" w:rsidRPr="008E75FC">
        <w:rPr>
          <w:rFonts w:asciiTheme="minorHAnsi" w:hAnsiTheme="minorHAnsi" w:cstheme="minorHAnsi"/>
          <w:sz w:val="22"/>
          <w:szCs w:val="22"/>
          <w:lang w:val="en-CA"/>
        </w:rPr>
        <w:t xml:space="preserve">this </w:t>
      </w:r>
      <w:r w:rsidR="00AC4460" w:rsidRPr="008E75FC">
        <w:rPr>
          <w:rFonts w:asciiTheme="minorHAnsi" w:hAnsiTheme="minorHAnsi" w:cstheme="minorHAnsi"/>
          <w:sz w:val="22"/>
          <w:szCs w:val="22"/>
          <w:lang w:val="en-CA"/>
        </w:rPr>
        <w:t>type</w:t>
      </w:r>
      <w:r w:rsidR="00375D78" w:rsidRPr="008E75FC">
        <w:rPr>
          <w:rFonts w:asciiTheme="minorHAnsi" w:hAnsiTheme="minorHAnsi" w:cstheme="minorHAnsi"/>
          <w:sz w:val="22"/>
          <w:szCs w:val="22"/>
          <w:lang w:val="en-CA"/>
        </w:rPr>
        <w:t xml:space="preserve"> of initiative</w:t>
      </w:r>
      <w:r w:rsidRPr="008E75FC">
        <w:rPr>
          <w:rFonts w:asciiTheme="minorHAnsi" w:hAnsiTheme="minorHAnsi" w:cstheme="minorHAnsi"/>
          <w:sz w:val="22"/>
          <w:szCs w:val="22"/>
          <w:lang w:val="en-CA"/>
        </w:rPr>
        <w:t xml:space="preserve">. </w:t>
      </w:r>
    </w:p>
    <w:p w14:paraId="768BFA22" w14:textId="3B90241F" w:rsidR="000D61F6" w:rsidRPr="008E75FC" w:rsidRDefault="006C68A2" w:rsidP="00B7094B">
      <w:pPr>
        <w:spacing w:after="120"/>
        <w:rPr>
          <w:rFonts w:asciiTheme="minorHAnsi" w:hAnsiTheme="minorHAnsi" w:cstheme="minorHAnsi"/>
          <w:sz w:val="22"/>
          <w:szCs w:val="22"/>
          <w:lang w:val="en-CA"/>
        </w:rPr>
      </w:pPr>
      <w:r w:rsidRPr="008E75FC">
        <w:rPr>
          <w:rFonts w:asciiTheme="minorHAnsi" w:hAnsiTheme="minorHAnsi" w:cstheme="minorHAnsi"/>
          <w:sz w:val="22"/>
          <w:szCs w:val="22"/>
          <w:lang w:val="en-CA"/>
        </w:rPr>
        <w:t xml:space="preserve">ISC </w:t>
      </w:r>
      <w:r w:rsidR="00AC4460" w:rsidRPr="008E75FC">
        <w:rPr>
          <w:rFonts w:asciiTheme="minorHAnsi" w:hAnsiTheme="minorHAnsi" w:cstheme="minorHAnsi"/>
          <w:sz w:val="22"/>
          <w:szCs w:val="22"/>
          <w:lang w:val="en-CA"/>
        </w:rPr>
        <w:t xml:space="preserve">has </w:t>
      </w:r>
      <w:r w:rsidRPr="008E75FC">
        <w:rPr>
          <w:rFonts w:asciiTheme="minorHAnsi" w:hAnsiTheme="minorHAnsi" w:cstheme="minorHAnsi"/>
          <w:sz w:val="22"/>
          <w:szCs w:val="22"/>
          <w:lang w:val="en-CA"/>
        </w:rPr>
        <w:t>expressed an interest in</w:t>
      </w:r>
      <w:r w:rsidR="00375D78" w:rsidRPr="008E75FC">
        <w:rPr>
          <w:rFonts w:asciiTheme="minorHAnsi" w:hAnsiTheme="minorHAnsi" w:cstheme="minorHAnsi"/>
          <w:sz w:val="22"/>
          <w:szCs w:val="22"/>
          <w:lang w:val="en-CA"/>
        </w:rPr>
        <w:t xml:space="preserve"> </w:t>
      </w:r>
      <w:r w:rsidR="00AC4460" w:rsidRPr="008E75FC">
        <w:rPr>
          <w:rFonts w:asciiTheme="minorHAnsi" w:hAnsiTheme="minorHAnsi" w:cstheme="minorHAnsi"/>
          <w:sz w:val="22"/>
          <w:szCs w:val="22"/>
          <w:lang w:val="en-CA"/>
        </w:rPr>
        <w:t>the pilot for the recruitment of nurses</w:t>
      </w:r>
      <w:r w:rsidR="00375D78" w:rsidRPr="008E75FC">
        <w:rPr>
          <w:rFonts w:asciiTheme="minorHAnsi" w:hAnsiTheme="minorHAnsi" w:cstheme="minorHAnsi"/>
          <w:sz w:val="22"/>
          <w:szCs w:val="22"/>
          <w:lang w:val="en-CA"/>
        </w:rPr>
        <w:t xml:space="preserve"> </w:t>
      </w:r>
      <w:r w:rsidRPr="008E75FC">
        <w:rPr>
          <w:rFonts w:asciiTheme="minorHAnsi" w:hAnsiTheme="minorHAnsi" w:cstheme="minorHAnsi"/>
          <w:sz w:val="22"/>
          <w:szCs w:val="22"/>
          <w:lang w:val="en-CA"/>
        </w:rPr>
        <w:t xml:space="preserve">given the many challenges </w:t>
      </w:r>
      <w:r w:rsidR="00262621" w:rsidRPr="008E75FC">
        <w:rPr>
          <w:rFonts w:asciiTheme="minorHAnsi" w:hAnsiTheme="minorHAnsi" w:cstheme="minorHAnsi"/>
          <w:sz w:val="22"/>
          <w:szCs w:val="22"/>
          <w:lang w:val="en-CA"/>
        </w:rPr>
        <w:t>involved in</w:t>
      </w:r>
      <w:r w:rsidR="00375D78" w:rsidRPr="008E75FC">
        <w:rPr>
          <w:rFonts w:asciiTheme="minorHAnsi" w:hAnsiTheme="minorHAnsi" w:cstheme="minorHAnsi"/>
          <w:sz w:val="22"/>
          <w:szCs w:val="22"/>
          <w:lang w:val="en-CA"/>
        </w:rPr>
        <w:t xml:space="preserve"> staffing</w:t>
      </w:r>
      <w:r w:rsidR="00262621" w:rsidRPr="008E75FC">
        <w:rPr>
          <w:rFonts w:asciiTheme="minorHAnsi" w:hAnsiTheme="minorHAnsi" w:cstheme="minorHAnsi"/>
          <w:sz w:val="22"/>
          <w:szCs w:val="22"/>
          <w:lang w:val="en-CA"/>
        </w:rPr>
        <w:t xml:space="preserve"> these positions.</w:t>
      </w:r>
      <w:r w:rsidRPr="008E75FC">
        <w:rPr>
          <w:rFonts w:asciiTheme="minorHAnsi" w:hAnsiTheme="minorHAnsi" w:cstheme="minorHAnsi"/>
          <w:sz w:val="22"/>
          <w:szCs w:val="22"/>
          <w:lang w:val="en-CA"/>
        </w:rPr>
        <w:t xml:space="preserve"> </w:t>
      </w:r>
      <w:r w:rsidR="00262621" w:rsidRPr="008E75FC">
        <w:rPr>
          <w:rFonts w:asciiTheme="minorHAnsi" w:hAnsiTheme="minorHAnsi" w:cstheme="minorHAnsi"/>
          <w:sz w:val="22"/>
          <w:szCs w:val="22"/>
          <w:lang w:val="en-CA"/>
        </w:rPr>
        <w:t>Discussion</w:t>
      </w:r>
      <w:r w:rsidR="00375D78" w:rsidRPr="008E75FC">
        <w:rPr>
          <w:rFonts w:asciiTheme="minorHAnsi" w:hAnsiTheme="minorHAnsi" w:cstheme="minorHAnsi"/>
          <w:sz w:val="22"/>
          <w:szCs w:val="22"/>
          <w:lang w:val="en-CA"/>
        </w:rPr>
        <w:t xml:space="preserve">s </w:t>
      </w:r>
      <w:r w:rsidR="00AC4460" w:rsidRPr="008E75FC">
        <w:rPr>
          <w:rFonts w:asciiTheme="minorHAnsi" w:hAnsiTheme="minorHAnsi" w:cstheme="minorHAnsi"/>
          <w:sz w:val="22"/>
          <w:szCs w:val="22"/>
          <w:lang w:val="en-CA"/>
        </w:rPr>
        <w:t>have been held with ISC’s nurse</w:t>
      </w:r>
      <w:r w:rsidR="00375D78" w:rsidRPr="008E75FC">
        <w:rPr>
          <w:rFonts w:asciiTheme="minorHAnsi" w:hAnsiTheme="minorHAnsi" w:cstheme="minorHAnsi"/>
          <w:sz w:val="22"/>
          <w:szCs w:val="22"/>
          <w:lang w:val="en-CA"/>
        </w:rPr>
        <w:t xml:space="preserve"> </w:t>
      </w:r>
      <w:r w:rsidR="00262621" w:rsidRPr="008E75FC">
        <w:rPr>
          <w:rFonts w:asciiTheme="minorHAnsi" w:hAnsiTheme="minorHAnsi" w:cstheme="minorHAnsi"/>
          <w:sz w:val="22"/>
          <w:szCs w:val="22"/>
          <w:lang w:val="en-CA"/>
        </w:rPr>
        <w:t>staffing team</w:t>
      </w:r>
      <w:r w:rsidR="000D61F6" w:rsidRPr="008E75FC">
        <w:rPr>
          <w:rFonts w:asciiTheme="minorHAnsi" w:hAnsiTheme="minorHAnsi" w:cstheme="minorHAnsi"/>
          <w:sz w:val="22"/>
          <w:szCs w:val="22"/>
          <w:lang w:val="en-CA"/>
        </w:rPr>
        <w:t>.</w:t>
      </w:r>
      <w:r w:rsidR="00262621" w:rsidRPr="008E75FC">
        <w:rPr>
          <w:rFonts w:asciiTheme="minorHAnsi" w:hAnsiTheme="minorHAnsi" w:cstheme="minorHAnsi"/>
          <w:sz w:val="22"/>
          <w:szCs w:val="22"/>
          <w:lang w:val="en-CA"/>
        </w:rPr>
        <w:t xml:space="preserve"> Though the pilot project is over, should ISC want advice on </w:t>
      </w:r>
      <w:r w:rsidR="00375D78" w:rsidRPr="008E75FC">
        <w:rPr>
          <w:rFonts w:asciiTheme="minorHAnsi" w:hAnsiTheme="minorHAnsi" w:cstheme="minorHAnsi"/>
          <w:sz w:val="22"/>
          <w:szCs w:val="22"/>
          <w:lang w:val="en-CA"/>
        </w:rPr>
        <w:t>using</w:t>
      </w:r>
      <w:r w:rsidR="00262621" w:rsidRPr="008E75FC">
        <w:rPr>
          <w:rFonts w:asciiTheme="minorHAnsi" w:hAnsiTheme="minorHAnsi" w:cstheme="minorHAnsi"/>
          <w:sz w:val="22"/>
          <w:szCs w:val="22"/>
          <w:lang w:val="en-CA"/>
        </w:rPr>
        <w:t xml:space="preserve"> a refer</w:t>
      </w:r>
      <w:r w:rsidR="0078009E" w:rsidRPr="008E75FC">
        <w:rPr>
          <w:rFonts w:asciiTheme="minorHAnsi" w:hAnsiTheme="minorHAnsi" w:cstheme="minorHAnsi"/>
          <w:sz w:val="22"/>
          <w:szCs w:val="22"/>
          <w:lang w:val="en-CA"/>
        </w:rPr>
        <w:t xml:space="preserve">ral </w:t>
      </w:r>
      <w:r w:rsidR="00262621" w:rsidRPr="008E75FC">
        <w:rPr>
          <w:rFonts w:asciiTheme="minorHAnsi" w:hAnsiTheme="minorHAnsi" w:cstheme="minorHAnsi"/>
          <w:sz w:val="22"/>
          <w:szCs w:val="22"/>
          <w:lang w:val="en-CA"/>
        </w:rPr>
        <w:t xml:space="preserve">program, the PSC </w:t>
      </w:r>
      <w:r w:rsidR="0078009E" w:rsidRPr="008E75FC">
        <w:rPr>
          <w:rFonts w:asciiTheme="minorHAnsi" w:hAnsiTheme="minorHAnsi" w:cstheme="minorHAnsi"/>
          <w:sz w:val="22"/>
          <w:szCs w:val="22"/>
          <w:lang w:val="en-CA"/>
        </w:rPr>
        <w:t>can</w:t>
      </w:r>
      <w:r w:rsidR="00375D78" w:rsidRPr="008E75FC">
        <w:rPr>
          <w:rFonts w:asciiTheme="minorHAnsi" w:hAnsiTheme="minorHAnsi" w:cstheme="minorHAnsi"/>
          <w:sz w:val="22"/>
          <w:szCs w:val="22"/>
          <w:lang w:val="en-CA"/>
        </w:rPr>
        <w:t xml:space="preserve"> </w:t>
      </w:r>
      <w:r w:rsidR="00C83463" w:rsidRPr="008E75FC">
        <w:rPr>
          <w:rFonts w:asciiTheme="minorHAnsi" w:hAnsiTheme="minorHAnsi" w:cstheme="minorHAnsi"/>
          <w:sz w:val="22"/>
          <w:szCs w:val="22"/>
          <w:lang w:val="en-CA"/>
        </w:rPr>
        <w:t xml:space="preserve">provide </w:t>
      </w:r>
      <w:r w:rsidR="00375D78" w:rsidRPr="008E75FC">
        <w:rPr>
          <w:rFonts w:asciiTheme="minorHAnsi" w:hAnsiTheme="minorHAnsi" w:cstheme="minorHAnsi"/>
          <w:sz w:val="22"/>
          <w:szCs w:val="22"/>
          <w:lang w:val="en-CA"/>
        </w:rPr>
        <w:t xml:space="preserve">its expertise to support </w:t>
      </w:r>
      <w:r w:rsidR="00AC4460" w:rsidRPr="008E75FC">
        <w:rPr>
          <w:rFonts w:asciiTheme="minorHAnsi" w:hAnsiTheme="minorHAnsi" w:cstheme="minorHAnsi"/>
          <w:sz w:val="22"/>
          <w:szCs w:val="22"/>
          <w:lang w:val="en-CA"/>
        </w:rPr>
        <w:t xml:space="preserve">such an </w:t>
      </w:r>
      <w:r w:rsidR="00375D78" w:rsidRPr="008E75FC">
        <w:rPr>
          <w:rFonts w:asciiTheme="minorHAnsi" w:hAnsiTheme="minorHAnsi" w:cstheme="minorHAnsi"/>
          <w:sz w:val="22"/>
          <w:szCs w:val="22"/>
          <w:lang w:val="en-CA"/>
        </w:rPr>
        <w:t>endeavo</w:t>
      </w:r>
      <w:r w:rsidR="00030C43" w:rsidRPr="008E75FC">
        <w:rPr>
          <w:rFonts w:asciiTheme="minorHAnsi" w:hAnsiTheme="minorHAnsi" w:cstheme="minorHAnsi"/>
          <w:sz w:val="22"/>
          <w:szCs w:val="22"/>
          <w:lang w:val="en-CA"/>
        </w:rPr>
        <w:t>u</w:t>
      </w:r>
      <w:r w:rsidR="00375D78" w:rsidRPr="008E75FC">
        <w:rPr>
          <w:rFonts w:asciiTheme="minorHAnsi" w:hAnsiTheme="minorHAnsi" w:cstheme="minorHAnsi"/>
          <w:sz w:val="22"/>
          <w:szCs w:val="22"/>
          <w:lang w:val="en-CA"/>
        </w:rPr>
        <w:t>r.</w:t>
      </w:r>
      <w:r w:rsidR="00262621" w:rsidRPr="008E75FC">
        <w:rPr>
          <w:rFonts w:asciiTheme="minorHAnsi" w:hAnsiTheme="minorHAnsi" w:cstheme="minorHAnsi"/>
          <w:sz w:val="22"/>
          <w:szCs w:val="22"/>
          <w:lang w:val="en-CA"/>
        </w:rPr>
        <w:t xml:space="preserve"> </w:t>
      </w:r>
    </w:p>
    <w:p w14:paraId="113CC13B" w14:textId="3FE7D6B7" w:rsidR="000D61F6" w:rsidRPr="008E75FC" w:rsidRDefault="00EF5141" w:rsidP="00B7094B">
      <w:pPr>
        <w:spacing w:after="120"/>
        <w:contextualSpacing/>
        <w:rPr>
          <w:rFonts w:asciiTheme="minorHAnsi" w:hAnsiTheme="minorHAnsi" w:cstheme="minorHAnsi"/>
          <w:sz w:val="22"/>
          <w:szCs w:val="22"/>
          <w:lang w:val="en-CA"/>
        </w:rPr>
      </w:pPr>
      <w:r w:rsidRPr="008E75FC">
        <w:rPr>
          <w:rFonts w:asciiTheme="minorHAnsi" w:hAnsiTheme="minorHAnsi" w:cstheme="minorHAnsi"/>
          <w:sz w:val="22"/>
          <w:szCs w:val="22"/>
          <w:lang w:val="en-CA"/>
        </w:rPr>
        <w:t>ISC</w:t>
      </w:r>
      <w:r w:rsidR="00AC4460" w:rsidRPr="008E75FC">
        <w:rPr>
          <w:rFonts w:asciiTheme="minorHAnsi" w:hAnsiTheme="minorHAnsi" w:cstheme="minorHAnsi"/>
          <w:sz w:val="22"/>
          <w:szCs w:val="22"/>
          <w:lang w:val="en-CA"/>
        </w:rPr>
        <w:t xml:space="preserve"> has</w:t>
      </w:r>
      <w:r w:rsidRPr="008E75FC">
        <w:rPr>
          <w:rFonts w:asciiTheme="minorHAnsi" w:hAnsiTheme="minorHAnsi" w:cstheme="minorHAnsi"/>
          <w:sz w:val="22"/>
          <w:szCs w:val="22"/>
          <w:lang w:val="en-CA"/>
        </w:rPr>
        <w:t xml:space="preserve"> participated in Indigenous Career Pathways (ICP), taking part in consultations and providing feedback on the Inventory of Indigenous Applicants and Indigenous Recruitment </w:t>
      </w:r>
      <w:r w:rsidR="0002549E" w:rsidRPr="008E75FC">
        <w:rPr>
          <w:rFonts w:asciiTheme="minorHAnsi" w:hAnsiTheme="minorHAnsi" w:cstheme="minorHAnsi"/>
          <w:sz w:val="22"/>
          <w:szCs w:val="22"/>
          <w:lang w:val="en-CA"/>
        </w:rPr>
        <w:t>Toolkit</w:t>
      </w:r>
      <w:r w:rsidR="000D61F6" w:rsidRPr="008E75FC">
        <w:rPr>
          <w:rFonts w:asciiTheme="minorHAnsi" w:hAnsiTheme="minorHAnsi" w:cstheme="minorHAnsi"/>
          <w:sz w:val="22"/>
          <w:szCs w:val="22"/>
          <w:lang w:val="en-CA"/>
        </w:rPr>
        <w:t>.</w:t>
      </w:r>
      <w:r w:rsidR="0002549E" w:rsidRPr="008E75FC">
        <w:rPr>
          <w:rFonts w:asciiTheme="minorHAnsi" w:hAnsiTheme="minorHAnsi" w:cstheme="minorHAnsi"/>
          <w:sz w:val="22"/>
          <w:szCs w:val="22"/>
          <w:lang w:val="en-CA"/>
        </w:rPr>
        <w:t xml:space="preserve"> ICP will be officially launched with a letter</w:t>
      </w:r>
      <w:r w:rsidR="005F1430" w:rsidRPr="008E75FC">
        <w:rPr>
          <w:rFonts w:asciiTheme="minorHAnsi" w:hAnsiTheme="minorHAnsi" w:cstheme="minorHAnsi"/>
          <w:sz w:val="22"/>
          <w:szCs w:val="22"/>
          <w:lang w:val="en-CA"/>
        </w:rPr>
        <w:t xml:space="preserve"> to deputy heads in fall 2020 and a</w:t>
      </w:r>
      <w:r w:rsidR="0002549E" w:rsidRPr="008E75FC">
        <w:rPr>
          <w:rFonts w:asciiTheme="minorHAnsi" w:hAnsiTheme="minorHAnsi" w:cstheme="minorHAnsi"/>
          <w:sz w:val="22"/>
          <w:szCs w:val="22"/>
          <w:lang w:val="en-CA"/>
        </w:rPr>
        <w:t xml:space="preserve"> joint event with the Canada School of Public Service on December 11. The next step </w:t>
      </w:r>
      <w:r w:rsidR="005F1430" w:rsidRPr="008E75FC">
        <w:rPr>
          <w:rFonts w:asciiTheme="minorHAnsi" w:hAnsiTheme="minorHAnsi" w:cstheme="minorHAnsi"/>
          <w:sz w:val="22"/>
          <w:szCs w:val="22"/>
          <w:lang w:val="en-CA"/>
        </w:rPr>
        <w:t xml:space="preserve">will </w:t>
      </w:r>
      <w:r w:rsidR="00B43BA8" w:rsidRPr="008E75FC">
        <w:rPr>
          <w:rFonts w:asciiTheme="minorHAnsi" w:hAnsiTheme="minorHAnsi" w:cstheme="minorHAnsi"/>
          <w:sz w:val="22"/>
          <w:szCs w:val="22"/>
          <w:lang w:val="en-CA"/>
        </w:rPr>
        <w:t>be</w:t>
      </w:r>
      <w:r w:rsidR="0002549E" w:rsidRPr="008E75FC">
        <w:rPr>
          <w:rFonts w:asciiTheme="minorHAnsi" w:hAnsiTheme="minorHAnsi" w:cstheme="minorHAnsi"/>
          <w:sz w:val="22"/>
          <w:szCs w:val="22"/>
          <w:lang w:val="en-CA"/>
        </w:rPr>
        <w:t xml:space="preserve"> </w:t>
      </w:r>
      <w:r w:rsidR="00F9455F" w:rsidRPr="008E75FC">
        <w:rPr>
          <w:rFonts w:asciiTheme="minorHAnsi" w:hAnsiTheme="minorHAnsi" w:cstheme="minorHAnsi"/>
          <w:sz w:val="22"/>
          <w:szCs w:val="22"/>
          <w:lang w:val="en-CA"/>
        </w:rPr>
        <w:t>establishing</w:t>
      </w:r>
      <w:r w:rsidR="0002549E" w:rsidRPr="008E75FC">
        <w:rPr>
          <w:rFonts w:asciiTheme="minorHAnsi" w:hAnsiTheme="minorHAnsi" w:cstheme="minorHAnsi"/>
          <w:sz w:val="22"/>
          <w:szCs w:val="22"/>
          <w:lang w:val="en-CA"/>
        </w:rPr>
        <w:t xml:space="preserve"> an Indigenous talent acquisition circle with the </w:t>
      </w:r>
      <w:r w:rsidR="00F9455F" w:rsidRPr="008E75FC">
        <w:rPr>
          <w:rFonts w:asciiTheme="minorHAnsi" w:hAnsiTheme="minorHAnsi" w:cstheme="minorHAnsi"/>
          <w:sz w:val="22"/>
          <w:szCs w:val="22"/>
          <w:lang w:val="en-CA"/>
        </w:rPr>
        <w:t>overarching</w:t>
      </w:r>
      <w:r w:rsidR="0002549E" w:rsidRPr="008E75FC">
        <w:rPr>
          <w:rFonts w:asciiTheme="minorHAnsi" w:hAnsiTheme="minorHAnsi" w:cstheme="minorHAnsi"/>
          <w:sz w:val="22"/>
          <w:szCs w:val="22"/>
          <w:lang w:val="en-CA"/>
        </w:rPr>
        <w:t xml:space="preserve"> goal of creating a coll</w:t>
      </w:r>
      <w:r w:rsidR="00F9455F" w:rsidRPr="008E75FC">
        <w:rPr>
          <w:rFonts w:asciiTheme="minorHAnsi" w:hAnsiTheme="minorHAnsi" w:cstheme="minorHAnsi"/>
          <w:sz w:val="22"/>
          <w:szCs w:val="22"/>
          <w:lang w:val="en-CA"/>
        </w:rPr>
        <w:t xml:space="preserve">aborative space where federal departments </w:t>
      </w:r>
      <w:r w:rsidR="004D6FC6" w:rsidRPr="008E75FC">
        <w:rPr>
          <w:rFonts w:asciiTheme="minorHAnsi" w:hAnsiTheme="minorHAnsi" w:cstheme="minorHAnsi"/>
          <w:sz w:val="22"/>
          <w:szCs w:val="22"/>
          <w:lang w:val="en-CA"/>
        </w:rPr>
        <w:t>will be able to</w:t>
      </w:r>
      <w:r w:rsidR="00F9455F" w:rsidRPr="008E75FC">
        <w:rPr>
          <w:rFonts w:asciiTheme="minorHAnsi" w:hAnsiTheme="minorHAnsi" w:cstheme="minorHAnsi"/>
          <w:sz w:val="22"/>
          <w:szCs w:val="22"/>
          <w:lang w:val="en-CA"/>
        </w:rPr>
        <w:t xml:space="preserve"> </w:t>
      </w:r>
      <w:r w:rsidR="00F9455F" w:rsidRPr="008E75FC">
        <w:rPr>
          <w:rFonts w:asciiTheme="minorHAnsi" w:hAnsiTheme="minorHAnsi" w:cstheme="minorHAnsi"/>
          <w:sz w:val="22"/>
          <w:szCs w:val="22"/>
          <w:lang w:val="en-CA"/>
        </w:rPr>
        <w:lastRenderedPageBreak/>
        <w:t>discuss, share and exchange advice on different projects, programs and initiatives related to awareness, recruitment and staffing of Indigenous talent.</w:t>
      </w:r>
    </w:p>
    <w:p w14:paraId="07C35AE8" w14:textId="093C6D3A" w:rsidR="000D61F6" w:rsidRPr="008E75FC" w:rsidRDefault="004D6FC6" w:rsidP="00B7094B">
      <w:pPr>
        <w:pStyle w:val="NoSpacing"/>
        <w:spacing w:after="120"/>
        <w:rPr>
          <w:rFonts w:asciiTheme="minorHAnsi" w:hAnsiTheme="minorHAnsi" w:cstheme="minorHAnsi"/>
          <w:sz w:val="22"/>
          <w:szCs w:val="22"/>
          <w:lang w:val="en-CA"/>
        </w:rPr>
      </w:pPr>
      <w:r w:rsidRPr="008E75FC">
        <w:rPr>
          <w:rFonts w:asciiTheme="minorHAnsi" w:hAnsiTheme="minorHAnsi" w:cstheme="minorHAnsi"/>
          <w:sz w:val="22"/>
          <w:szCs w:val="22"/>
          <w:lang w:val="en-CA"/>
        </w:rPr>
        <w:t xml:space="preserve">ISC is also a member of the informal Indigenous recruitment group for the Quebec Region organized by the PSC. </w:t>
      </w:r>
      <w:r w:rsidR="005F1430" w:rsidRPr="008E75FC">
        <w:rPr>
          <w:rFonts w:asciiTheme="minorHAnsi" w:hAnsiTheme="minorHAnsi" w:cstheme="minorHAnsi"/>
          <w:sz w:val="22"/>
          <w:szCs w:val="22"/>
          <w:lang w:val="en-CA"/>
        </w:rPr>
        <w:t xml:space="preserve">Other members include </w:t>
      </w:r>
      <w:r w:rsidRPr="008E75FC">
        <w:rPr>
          <w:rFonts w:asciiTheme="minorHAnsi" w:hAnsiTheme="minorHAnsi" w:cstheme="minorHAnsi"/>
          <w:sz w:val="22"/>
          <w:szCs w:val="22"/>
          <w:lang w:val="en-CA"/>
        </w:rPr>
        <w:t>Employment and Social Development Canada, the Canada Revenue Agency and Crown</w:t>
      </w:r>
      <w:r w:rsidRPr="008E75FC">
        <w:rPr>
          <w:rFonts w:asciiTheme="minorHAnsi" w:hAnsiTheme="minorHAnsi" w:cstheme="minorHAnsi"/>
          <w:sz w:val="22"/>
          <w:szCs w:val="22"/>
          <w:lang w:val="en-CA"/>
        </w:rPr>
        <w:noBreakHyphen/>
        <w:t>Indigenous Relations</w:t>
      </w:r>
      <w:r w:rsidR="005F1430" w:rsidRPr="008E75FC">
        <w:rPr>
          <w:rFonts w:asciiTheme="minorHAnsi" w:hAnsiTheme="minorHAnsi" w:cstheme="minorHAnsi"/>
          <w:sz w:val="22"/>
          <w:szCs w:val="22"/>
          <w:lang w:val="en-CA"/>
        </w:rPr>
        <w:t xml:space="preserve"> and Northern Affairs Canada</w:t>
      </w:r>
      <w:r w:rsidRPr="008E75FC">
        <w:rPr>
          <w:rFonts w:asciiTheme="minorHAnsi" w:hAnsiTheme="minorHAnsi" w:cstheme="minorHAnsi"/>
          <w:sz w:val="22"/>
          <w:szCs w:val="22"/>
          <w:lang w:val="en-CA"/>
        </w:rPr>
        <w:t>.</w:t>
      </w:r>
    </w:p>
    <w:p w14:paraId="7D089E9D" w14:textId="6476B90E" w:rsidR="000D61F6" w:rsidRPr="008E75FC" w:rsidRDefault="000A7A2F" w:rsidP="00B7094B">
      <w:pPr>
        <w:spacing w:after="120"/>
        <w:contextualSpacing/>
        <w:rPr>
          <w:rFonts w:asciiTheme="minorHAnsi" w:hAnsiTheme="minorHAnsi" w:cstheme="minorHAnsi"/>
          <w:sz w:val="22"/>
          <w:szCs w:val="22"/>
          <w:lang w:val="en-CA"/>
        </w:rPr>
      </w:pPr>
      <w:r w:rsidRPr="008E75FC">
        <w:rPr>
          <w:rFonts w:asciiTheme="minorHAnsi" w:hAnsiTheme="minorHAnsi" w:cstheme="minorHAnsi"/>
          <w:sz w:val="22"/>
          <w:szCs w:val="22"/>
          <w:lang w:val="en-CA"/>
        </w:rPr>
        <w:t>ISC has co-hosted various information sessions targeting Indigenous students in the Quebec Region with the goal of establishing and maintaining relationships with Indigenous communities and associations. Three suc</w:t>
      </w:r>
      <w:r w:rsidR="00C83463" w:rsidRPr="008E75FC">
        <w:rPr>
          <w:rFonts w:asciiTheme="minorHAnsi" w:hAnsiTheme="minorHAnsi" w:cstheme="minorHAnsi"/>
          <w:sz w:val="22"/>
          <w:szCs w:val="22"/>
          <w:lang w:val="en-CA"/>
        </w:rPr>
        <w:t>cessful events have been held over</w:t>
      </w:r>
      <w:r w:rsidR="00B43BA8" w:rsidRPr="008E75FC">
        <w:rPr>
          <w:rFonts w:asciiTheme="minorHAnsi" w:hAnsiTheme="minorHAnsi" w:cstheme="minorHAnsi"/>
          <w:sz w:val="22"/>
          <w:szCs w:val="22"/>
          <w:lang w:val="en-CA"/>
        </w:rPr>
        <w:t xml:space="preserve"> the last 18 months, and the organization is partnering with </w:t>
      </w:r>
      <w:proofErr w:type="spellStart"/>
      <w:r w:rsidR="00B43BA8" w:rsidRPr="008E75FC">
        <w:rPr>
          <w:rFonts w:asciiTheme="minorHAnsi" w:hAnsiTheme="minorHAnsi" w:cstheme="minorHAnsi"/>
          <w:sz w:val="22"/>
          <w:szCs w:val="22"/>
          <w:lang w:val="en-CA"/>
        </w:rPr>
        <w:t>Kiuna</w:t>
      </w:r>
      <w:proofErr w:type="spellEnd"/>
      <w:r w:rsidR="00B43BA8" w:rsidRPr="008E75FC">
        <w:rPr>
          <w:rFonts w:asciiTheme="minorHAnsi" w:hAnsiTheme="minorHAnsi" w:cstheme="minorHAnsi"/>
          <w:sz w:val="22"/>
          <w:szCs w:val="22"/>
          <w:lang w:val="en-CA"/>
        </w:rPr>
        <w:t xml:space="preserve"> College to hold a</w:t>
      </w:r>
      <w:r w:rsidR="00C83463" w:rsidRPr="008E75FC">
        <w:rPr>
          <w:rFonts w:asciiTheme="minorHAnsi" w:hAnsiTheme="minorHAnsi" w:cstheme="minorHAnsi"/>
          <w:sz w:val="22"/>
          <w:szCs w:val="22"/>
          <w:lang w:val="en-CA"/>
        </w:rPr>
        <w:t xml:space="preserve"> virtual information session </w:t>
      </w:r>
      <w:r w:rsidR="00B43BA8" w:rsidRPr="008E75FC">
        <w:rPr>
          <w:rFonts w:asciiTheme="minorHAnsi" w:hAnsiTheme="minorHAnsi" w:cstheme="minorHAnsi"/>
          <w:sz w:val="22"/>
          <w:szCs w:val="22"/>
          <w:lang w:val="en-CA"/>
        </w:rPr>
        <w:t>in</w:t>
      </w:r>
      <w:r w:rsidRPr="008E75FC">
        <w:rPr>
          <w:rFonts w:asciiTheme="minorHAnsi" w:hAnsiTheme="minorHAnsi" w:cstheme="minorHAnsi"/>
          <w:sz w:val="22"/>
          <w:szCs w:val="22"/>
          <w:lang w:val="en-CA"/>
        </w:rPr>
        <w:t xml:space="preserve"> January 2021. </w:t>
      </w:r>
    </w:p>
    <w:p w14:paraId="4CC69ACE" w14:textId="494E9735" w:rsidR="000D61F6" w:rsidRPr="008E75FC" w:rsidRDefault="00C83463" w:rsidP="00B7094B">
      <w:pPr>
        <w:pStyle w:val="PlainText"/>
        <w:spacing w:after="120"/>
        <w:rPr>
          <w:rFonts w:asciiTheme="minorHAnsi" w:hAnsiTheme="minorHAnsi" w:cstheme="minorHAnsi"/>
          <w:szCs w:val="22"/>
        </w:rPr>
      </w:pPr>
      <w:r w:rsidRPr="008E75FC">
        <w:rPr>
          <w:rFonts w:asciiTheme="minorHAnsi" w:hAnsiTheme="minorHAnsi" w:cstheme="minorHAnsi"/>
          <w:szCs w:val="22"/>
        </w:rPr>
        <w:t xml:space="preserve">Meanwhile, the PSC is in the process of </w:t>
      </w:r>
      <w:r w:rsidR="008F1D60" w:rsidRPr="008E75FC">
        <w:rPr>
          <w:rFonts w:asciiTheme="minorHAnsi" w:hAnsiTheme="minorHAnsi" w:cstheme="minorHAnsi"/>
          <w:szCs w:val="22"/>
        </w:rPr>
        <w:t xml:space="preserve">reviewing the </w:t>
      </w:r>
      <w:r w:rsidR="008F1D60" w:rsidRPr="008E75FC">
        <w:rPr>
          <w:rStyle w:val="Emphasis"/>
          <w:rFonts w:asciiTheme="minorHAnsi" w:hAnsiTheme="minorHAnsi" w:cstheme="minorHAnsi"/>
        </w:rPr>
        <w:t>Public Service Employment Regulations</w:t>
      </w:r>
      <w:r w:rsidR="00EA098B" w:rsidRPr="008E75FC">
        <w:rPr>
          <w:rFonts w:asciiTheme="minorHAnsi" w:hAnsiTheme="minorHAnsi" w:cstheme="minorHAnsi"/>
          <w:szCs w:val="22"/>
        </w:rPr>
        <w:t xml:space="preserve">, a key instrument supporting the </w:t>
      </w:r>
      <w:r w:rsidR="00EA098B" w:rsidRPr="008E75FC">
        <w:rPr>
          <w:rStyle w:val="Emphasis"/>
          <w:rFonts w:asciiTheme="minorHAnsi" w:hAnsiTheme="minorHAnsi" w:cstheme="minorHAnsi"/>
        </w:rPr>
        <w:t>Public Service Employment Act</w:t>
      </w:r>
      <w:r w:rsidR="00EA098B" w:rsidRPr="008E75FC">
        <w:rPr>
          <w:rFonts w:asciiTheme="minorHAnsi" w:hAnsiTheme="minorHAnsi" w:cstheme="minorHAnsi"/>
          <w:i/>
          <w:szCs w:val="22"/>
        </w:rPr>
        <w:t xml:space="preserve">. </w:t>
      </w:r>
      <w:r w:rsidRPr="008E75FC">
        <w:rPr>
          <w:rFonts w:asciiTheme="minorHAnsi" w:hAnsiTheme="minorHAnsi" w:cstheme="minorHAnsi"/>
          <w:szCs w:val="22"/>
        </w:rPr>
        <w:t>The intent of this review is</w:t>
      </w:r>
      <w:r w:rsidR="002C3BE6" w:rsidRPr="008E75FC">
        <w:rPr>
          <w:rFonts w:asciiTheme="minorHAnsi" w:hAnsiTheme="minorHAnsi" w:cstheme="minorHAnsi"/>
          <w:szCs w:val="22"/>
        </w:rPr>
        <w:t xml:space="preserve"> to</w:t>
      </w:r>
      <w:r w:rsidR="00EA098B" w:rsidRPr="008E75FC">
        <w:rPr>
          <w:rFonts w:asciiTheme="minorHAnsi" w:hAnsiTheme="minorHAnsi" w:cstheme="minorHAnsi"/>
          <w:szCs w:val="22"/>
        </w:rPr>
        <w:t xml:space="preserve"> address the </w:t>
      </w:r>
      <w:r w:rsidR="002C3BE6" w:rsidRPr="008E75FC">
        <w:rPr>
          <w:rFonts w:asciiTheme="minorHAnsi" w:hAnsiTheme="minorHAnsi" w:cstheme="minorHAnsi"/>
          <w:szCs w:val="22"/>
        </w:rPr>
        <w:t>current</w:t>
      </w:r>
      <w:r w:rsidR="00EA098B" w:rsidRPr="008E75FC">
        <w:rPr>
          <w:rFonts w:asciiTheme="minorHAnsi" w:hAnsiTheme="minorHAnsi" w:cstheme="minorHAnsi"/>
          <w:szCs w:val="22"/>
        </w:rPr>
        <w:t xml:space="preserve"> and future needs of hiring organizations </w:t>
      </w:r>
      <w:r w:rsidR="002C3BE6" w:rsidRPr="008E75FC">
        <w:rPr>
          <w:rFonts w:asciiTheme="minorHAnsi" w:hAnsiTheme="minorHAnsi" w:cstheme="minorHAnsi"/>
          <w:szCs w:val="22"/>
        </w:rPr>
        <w:t>and</w:t>
      </w:r>
      <w:r w:rsidRPr="008E75FC">
        <w:rPr>
          <w:rFonts w:asciiTheme="minorHAnsi" w:hAnsiTheme="minorHAnsi" w:cstheme="minorHAnsi"/>
          <w:szCs w:val="22"/>
        </w:rPr>
        <w:t xml:space="preserve"> eliminate any</w:t>
      </w:r>
      <w:r w:rsidR="00EA098B" w:rsidRPr="008E75FC">
        <w:rPr>
          <w:rFonts w:asciiTheme="minorHAnsi" w:hAnsiTheme="minorHAnsi" w:cstheme="minorHAnsi"/>
          <w:szCs w:val="22"/>
        </w:rPr>
        <w:t xml:space="preserve"> unnecessary requirements.</w:t>
      </w:r>
    </w:p>
    <w:p w14:paraId="45471D07" w14:textId="04607471" w:rsidR="000D61F6" w:rsidRPr="008E75FC" w:rsidRDefault="00EA098B" w:rsidP="00B7094B">
      <w:pPr>
        <w:pStyle w:val="PlainText"/>
        <w:spacing w:after="120"/>
        <w:rPr>
          <w:rFonts w:asciiTheme="minorHAnsi" w:hAnsiTheme="minorHAnsi" w:cstheme="minorHAnsi"/>
          <w:szCs w:val="22"/>
        </w:rPr>
      </w:pPr>
      <w:r w:rsidRPr="008E75FC">
        <w:rPr>
          <w:rFonts w:asciiTheme="minorHAnsi" w:hAnsiTheme="minorHAnsi" w:cstheme="minorHAnsi"/>
          <w:szCs w:val="22"/>
        </w:rPr>
        <w:t xml:space="preserve">The PSC has </w:t>
      </w:r>
      <w:r w:rsidR="00C83463" w:rsidRPr="008E75FC">
        <w:rPr>
          <w:rFonts w:asciiTheme="minorHAnsi" w:hAnsiTheme="minorHAnsi" w:cstheme="minorHAnsi"/>
          <w:szCs w:val="22"/>
        </w:rPr>
        <w:t>consulted</w:t>
      </w:r>
      <w:r w:rsidRPr="008E75FC">
        <w:rPr>
          <w:rFonts w:asciiTheme="minorHAnsi" w:hAnsiTheme="minorHAnsi" w:cstheme="minorHAnsi"/>
          <w:szCs w:val="22"/>
        </w:rPr>
        <w:t xml:space="preserve"> various stakeholders, including ISC, to hear their v</w:t>
      </w:r>
      <w:r w:rsidR="00C83463" w:rsidRPr="008E75FC">
        <w:rPr>
          <w:rFonts w:asciiTheme="minorHAnsi" w:hAnsiTheme="minorHAnsi" w:cstheme="minorHAnsi"/>
          <w:szCs w:val="22"/>
        </w:rPr>
        <w:t>iews on the application of the Regulations</w:t>
      </w:r>
      <w:r w:rsidRPr="008E75FC">
        <w:rPr>
          <w:rFonts w:asciiTheme="minorHAnsi" w:hAnsiTheme="minorHAnsi" w:cstheme="minorHAnsi"/>
          <w:szCs w:val="22"/>
        </w:rPr>
        <w:t xml:space="preserve"> and the proposed </w:t>
      </w:r>
      <w:r w:rsidR="00C83463" w:rsidRPr="008E75FC">
        <w:rPr>
          <w:rFonts w:asciiTheme="minorHAnsi" w:hAnsiTheme="minorHAnsi" w:cstheme="minorHAnsi"/>
          <w:szCs w:val="22"/>
        </w:rPr>
        <w:t>amendments</w:t>
      </w:r>
      <w:r w:rsidRPr="008E75FC">
        <w:rPr>
          <w:rFonts w:asciiTheme="minorHAnsi" w:hAnsiTheme="minorHAnsi" w:cstheme="minorHAnsi"/>
          <w:szCs w:val="22"/>
        </w:rPr>
        <w:t xml:space="preserve">. ISC </w:t>
      </w:r>
      <w:r w:rsidR="00C83463" w:rsidRPr="008E75FC">
        <w:rPr>
          <w:rFonts w:asciiTheme="minorHAnsi" w:hAnsiTheme="minorHAnsi" w:cstheme="minorHAnsi"/>
          <w:szCs w:val="22"/>
        </w:rPr>
        <w:t>provided</w:t>
      </w:r>
      <w:r w:rsidRPr="008E75FC">
        <w:rPr>
          <w:rFonts w:asciiTheme="minorHAnsi" w:hAnsiTheme="minorHAnsi" w:cstheme="minorHAnsi"/>
          <w:szCs w:val="22"/>
        </w:rPr>
        <w:t xml:space="preserve"> comments through </w:t>
      </w:r>
      <w:r w:rsidR="008441DF" w:rsidRPr="008E75FC">
        <w:rPr>
          <w:rFonts w:asciiTheme="minorHAnsi" w:hAnsiTheme="minorHAnsi" w:cstheme="minorHAnsi"/>
          <w:szCs w:val="22"/>
        </w:rPr>
        <w:t>its</w:t>
      </w:r>
      <w:r w:rsidRPr="008E75FC">
        <w:rPr>
          <w:rFonts w:asciiTheme="minorHAnsi" w:hAnsiTheme="minorHAnsi" w:cstheme="minorHAnsi"/>
          <w:szCs w:val="22"/>
        </w:rPr>
        <w:t xml:space="preserve"> head of HR. </w:t>
      </w:r>
    </w:p>
    <w:p w14:paraId="080F0E54" w14:textId="7B2B366C" w:rsidR="000D61F6" w:rsidRPr="008E75FC" w:rsidRDefault="00D51221" w:rsidP="00B7094B">
      <w:pPr>
        <w:pStyle w:val="PlainText"/>
        <w:spacing w:after="120"/>
        <w:rPr>
          <w:rFonts w:asciiTheme="minorHAnsi" w:hAnsiTheme="minorHAnsi" w:cstheme="minorHAnsi"/>
          <w:szCs w:val="22"/>
        </w:rPr>
      </w:pPr>
      <w:r w:rsidRPr="008E75FC">
        <w:rPr>
          <w:rFonts w:asciiTheme="minorHAnsi" w:hAnsiTheme="minorHAnsi" w:cstheme="minorHAnsi"/>
          <w:szCs w:val="22"/>
        </w:rPr>
        <w:t xml:space="preserve">The PSC will </w:t>
      </w:r>
      <w:r w:rsidR="0052778E" w:rsidRPr="008E75FC">
        <w:rPr>
          <w:rFonts w:asciiTheme="minorHAnsi" w:hAnsiTheme="minorHAnsi" w:cstheme="minorHAnsi"/>
          <w:szCs w:val="22"/>
        </w:rPr>
        <w:t>soon</w:t>
      </w:r>
      <w:r w:rsidRPr="008E75FC">
        <w:rPr>
          <w:rFonts w:asciiTheme="minorHAnsi" w:hAnsiTheme="minorHAnsi" w:cstheme="minorHAnsi"/>
          <w:szCs w:val="22"/>
        </w:rPr>
        <w:t xml:space="preserve"> finalize the content proposals and</w:t>
      </w:r>
      <w:r w:rsidR="0052778E" w:rsidRPr="008E75FC">
        <w:rPr>
          <w:rFonts w:asciiTheme="minorHAnsi" w:hAnsiTheme="minorHAnsi" w:cstheme="minorHAnsi"/>
          <w:szCs w:val="22"/>
        </w:rPr>
        <w:t xml:space="preserve"> initiate</w:t>
      </w:r>
      <w:r w:rsidRPr="008E75FC">
        <w:rPr>
          <w:rFonts w:asciiTheme="minorHAnsi" w:hAnsiTheme="minorHAnsi" w:cstheme="minorHAnsi"/>
          <w:szCs w:val="22"/>
        </w:rPr>
        <w:t xml:space="preserve"> the regulatory amendment process with the Treasury Board Secretariat and Justice Canada</w:t>
      </w:r>
      <w:r w:rsidR="0052778E" w:rsidRPr="008E75FC">
        <w:rPr>
          <w:rFonts w:asciiTheme="minorHAnsi" w:hAnsiTheme="minorHAnsi" w:cstheme="minorHAnsi"/>
          <w:szCs w:val="22"/>
        </w:rPr>
        <w:t>.</w:t>
      </w:r>
    </w:p>
    <w:p w14:paraId="23C67D4C" w14:textId="77777777" w:rsidR="00030C43" w:rsidRPr="008E75FC" w:rsidRDefault="0052778E" w:rsidP="00B7094B">
      <w:pPr>
        <w:spacing w:after="120"/>
        <w:rPr>
          <w:rFonts w:asciiTheme="minorHAnsi" w:hAnsiTheme="minorHAnsi" w:cstheme="minorHAnsi"/>
          <w:sz w:val="22"/>
          <w:szCs w:val="22"/>
          <w:lang w:val="en-CA"/>
        </w:rPr>
      </w:pPr>
      <w:r w:rsidRPr="008E75FC">
        <w:rPr>
          <w:rFonts w:asciiTheme="minorHAnsi" w:hAnsiTheme="minorHAnsi" w:cstheme="minorHAnsi"/>
          <w:sz w:val="22"/>
          <w:szCs w:val="22"/>
          <w:lang w:val="en-CA"/>
        </w:rPr>
        <w:t xml:space="preserve">Since April 1, 2012, departments and organizations subject to the </w:t>
      </w:r>
      <w:r w:rsidRPr="00E54EDE">
        <w:rPr>
          <w:rStyle w:val="Emphasis"/>
          <w:rFonts w:asciiTheme="minorHAnsi" w:hAnsiTheme="minorHAnsi" w:cstheme="minorHAnsi"/>
          <w:sz w:val="22"/>
        </w:rPr>
        <w:t>Public Service Employment Act</w:t>
      </w:r>
      <w:r w:rsidRPr="00E54EDE">
        <w:rPr>
          <w:rFonts w:asciiTheme="minorHAnsi" w:hAnsiTheme="minorHAnsi" w:cstheme="minorHAnsi"/>
          <w:i/>
          <w:sz w:val="20"/>
          <w:szCs w:val="22"/>
          <w:lang w:val="en-CA"/>
        </w:rPr>
        <w:t xml:space="preserve"> </w:t>
      </w:r>
      <w:r w:rsidR="002C3BE6" w:rsidRPr="008E75FC">
        <w:rPr>
          <w:rFonts w:asciiTheme="minorHAnsi" w:hAnsiTheme="minorHAnsi" w:cstheme="minorHAnsi"/>
          <w:sz w:val="22"/>
          <w:szCs w:val="22"/>
          <w:lang w:val="en-CA"/>
        </w:rPr>
        <w:t>have been</w:t>
      </w:r>
      <w:r w:rsidRPr="008E75FC">
        <w:rPr>
          <w:rFonts w:asciiTheme="minorHAnsi" w:hAnsiTheme="minorHAnsi" w:cstheme="minorHAnsi"/>
          <w:sz w:val="22"/>
          <w:szCs w:val="22"/>
          <w:lang w:val="en-CA"/>
        </w:rPr>
        <w:t xml:space="preserve"> required to use the Affirmation of Aboriginal Affiliation Form (AAAF) for internal and external</w:t>
      </w:r>
      <w:r w:rsidR="00B43BA8" w:rsidRPr="008E75FC">
        <w:rPr>
          <w:rFonts w:asciiTheme="minorHAnsi" w:hAnsiTheme="minorHAnsi" w:cstheme="minorHAnsi"/>
          <w:sz w:val="22"/>
          <w:szCs w:val="22"/>
          <w:lang w:val="en-CA"/>
        </w:rPr>
        <w:t>,</w:t>
      </w:r>
      <w:r w:rsidRPr="008E75FC">
        <w:rPr>
          <w:rFonts w:asciiTheme="minorHAnsi" w:hAnsiTheme="minorHAnsi" w:cstheme="minorHAnsi"/>
          <w:sz w:val="22"/>
          <w:szCs w:val="22"/>
          <w:lang w:val="en-CA"/>
        </w:rPr>
        <w:t xml:space="preserve"> advertised and non-advertised appointment processes when the</w:t>
      </w:r>
      <w:r w:rsidRPr="008E75FC">
        <w:rPr>
          <w:rFonts w:asciiTheme="minorHAnsi" w:hAnsiTheme="minorHAnsi" w:cstheme="minorHAnsi"/>
          <w:lang w:val="en-CA"/>
        </w:rPr>
        <w:t xml:space="preserve"> </w:t>
      </w:r>
      <w:r w:rsidRPr="008E75FC">
        <w:rPr>
          <w:rFonts w:asciiTheme="minorHAnsi" w:hAnsiTheme="minorHAnsi" w:cstheme="minorHAnsi"/>
          <w:sz w:val="22"/>
          <w:szCs w:val="22"/>
          <w:lang w:val="en-CA"/>
        </w:rPr>
        <w:t xml:space="preserve">persons proposed for appointment or appointed have self-declared as Indigenous and the appointment process targets Indigenous persons. </w:t>
      </w:r>
    </w:p>
    <w:p w14:paraId="35E8106E" w14:textId="1A9CEBBB" w:rsidR="000D61F6" w:rsidRPr="008E75FC" w:rsidRDefault="0052778E" w:rsidP="00B7094B">
      <w:pPr>
        <w:spacing w:after="120"/>
        <w:rPr>
          <w:rFonts w:asciiTheme="minorHAnsi" w:hAnsiTheme="minorHAnsi" w:cstheme="minorHAnsi"/>
          <w:sz w:val="22"/>
          <w:szCs w:val="22"/>
          <w:lang w:val="en-CA"/>
        </w:rPr>
      </w:pPr>
      <w:r w:rsidRPr="008E75FC">
        <w:rPr>
          <w:rFonts w:asciiTheme="minorHAnsi" w:hAnsiTheme="minorHAnsi" w:cstheme="minorHAnsi"/>
          <w:sz w:val="22"/>
          <w:szCs w:val="22"/>
          <w:lang w:val="en-CA"/>
        </w:rPr>
        <w:t xml:space="preserve">As the AAAF </w:t>
      </w:r>
      <w:r w:rsidR="002C3BE6" w:rsidRPr="008E75FC">
        <w:rPr>
          <w:rFonts w:asciiTheme="minorHAnsi" w:hAnsiTheme="minorHAnsi" w:cstheme="minorHAnsi"/>
          <w:sz w:val="22"/>
          <w:szCs w:val="22"/>
          <w:lang w:val="en-CA"/>
        </w:rPr>
        <w:t>was created some time ago</w:t>
      </w:r>
      <w:r w:rsidR="00B43BA8" w:rsidRPr="008E75FC">
        <w:rPr>
          <w:rFonts w:asciiTheme="minorHAnsi" w:hAnsiTheme="minorHAnsi" w:cstheme="minorHAnsi"/>
          <w:sz w:val="22"/>
          <w:szCs w:val="22"/>
          <w:lang w:val="en-CA"/>
        </w:rPr>
        <w:t xml:space="preserve">, we </w:t>
      </w:r>
      <w:r w:rsidR="00030C43" w:rsidRPr="008E75FC">
        <w:rPr>
          <w:rFonts w:asciiTheme="minorHAnsi" w:hAnsiTheme="minorHAnsi" w:cstheme="minorHAnsi"/>
          <w:sz w:val="22"/>
          <w:szCs w:val="22"/>
          <w:lang w:val="en-CA"/>
        </w:rPr>
        <w:t>would like</w:t>
      </w:r>
      <w:r w:rsidR="00B43BA8" w:rsidRPr="008E75FC">
        <w:rPr>
          <w:rFonts w:asciiTheme="minorHAnsi" w:hAnsiTheme="minorHAnsi" w:cstheme="minorHAnsi"/>
          <w:sz w:val="22"/>
          <w:szCs w:val="22"/>
          <w:lang w:val="en-CA"/>
        </w:rPr>
        <w:t xml:space="preserve"> to review its use,</w:t>
      </w:r>
      <w:r w:rsidRPr="008E75FC">
        <w:rPr>
          <w:rFonts w:asciiTheme="minorHAnsi" w:hAnsiTheme="minorHAnsi" w:cstheme="minorHAnsi"/>
          <w:sz w:val="22"/>
          <w:szCs w:val="22"/>
          <w:lang w:val="en-CA"/>
        </w:rPr>
        <w:t xml:space="preserve"> asse</w:t>
      </w:r>
      <w:r w:rsidR="00070578" w:rsidRPr="008E75FC">
        <w:rPr>
          <w:rFonts w:asciiTheme="minorHAnsi" w:hAnsiTheme="minorHAnsi" w:cstheme="minorHAnsi"/>
          <w:sz w:val="22"/>
          <w:szCs w:val="22"/>
          <w:lang w:val="en-CA"/>
        </w:rPr>
        <w:t>s</w:t>
      </w:r>
      <w:r w:rsidRPr="008E75FC">
        <w:rPr>
          <w:rFonts w:asciiTheme="minorHAnsi" w:hAnsiTheme="minorHAnsi" w:cstheme="minorHAnsi"/>
          <w:sz w:val="22"/>
          <w:szCs w:val="22"/>
          <w:lang w:val="en-CA"/>
        </w:rPr>
        <w:t>s its effectiveness</w:t>
      </w:r>
      <w:r w:rsidR="00070578" w:rsidRPr="008E75FC">
        <w:rPr>
          <w:rFonts w:asciiTheme="minorHAnsi" w:hAnsiTheme="minorHAnsi" w:cstheme="minorHAnsi"/>
          <w:sz w:val="22"/>
          <w:szCs w:val="22"/>
          <w:lang w:val="en-CA"/>
        </w:rPr>
        <w:t xml:space="preserve"> and re</w:t>
      </w:r>
      <w:r w:rsidR="00B43BA8" w:rsidRPr="008E75FC">
        <w:rPr>
          <w:rFonts w:asciiTheme="minorHAnsi" w:hAnsiTheme="minorHAnsi" w:cstheme="minorHAnsi"/>
          <w:sz w:val="22"/>
          <w:szCs w:val="22"/>
          <w:lang w:val="en-CA"/>
        </w:rPr>
        <w:t xml:space="preserve">levance, and </w:t>
      </w:r>
      <w:r w:rsidR="00070578" w:rsidRPr="008E75FC">
        <w:rPr>
          <w:rFonts w:asciiTheme="minorHAnsi" w:hAnsiTheme="minorHAnsi" w:cstheme="minorHAnsi"/>
          <w:sz w:val="22"/>
          <w:szCs w:val="22"/>
          <w:lang w:val="en-CA"/>
        </w:rPr>
        <w:t>identify</w:t>
      </w:r>
      <w:r w:rsidRPr="008E75FC">
        <w:rPr>
          <w:rFonts w:asciiTheme="minorHAnsi" w:hAnsiTheme="minorHAnsi" w:cstheme="minorHAnsi"/>
          <w:sz w:val="22"/>
          <w:szCs w:val="22"/>
          <w:lang w:val="en-CA"/>
        </w:rPr>
        <w:t xml:space="preserve"> potential</w:t>
      </w:r>
      <w:r w:rsidR="002C3BE6" w:rsidRPr="008E75FC">
        <w:rPr>
          <w:rFonts w:asciiTheme="minorHAnsi" w:hAnsiTheme="minorHAnsi" w:cstheme="minorHAnsi"/>
          <w:sz w:val="22"/>
          <w:szCs w:val="22"/>
          <w:lang w:val="en-CA"/>
        </w:rPr>
        <w:t xml:space="preserve"> </w:t>
      </w:r>
      <w:r w:rsidR="00B43BA8" w:rsidRPr="008E75FC">
        <w:rPr>
          <w:rFonts w:asciiTheme="minorHAnsi" w:hAnsiTheme="minorHAnsi" w:cstheme="minorHAnsi"/>
          <w:sz w:val="22"/>
          <w:szCs w:val="22"/>
          <w:lang w:val="en-CA"/>
        </w:rPr>
        <w:t>changes. Over the coming months, w</w:t>
      </w:r>
      <w:r w:rsidR="00190E16" w:rsidRPr="008E75FC">
        <w:rPr>
          <w:rFonts w:asciiTheme="minorHAnsi" w:hAnsiTheme="minorHAnsi" w:cstheme="minorHAnsi"/>
          <w:sz w:val="22"/>
          <w:szCs w:val="22"/>
          <w:lang w:val="en-CA"/>
        </w:rPr>
        <w:t>e</w:t>
      </w:r>
      <w:r w:rsidR="00070578" w:rsidRPr="008E75FC">
        <w:rPr>
          <w:rFonts w:asciiTheme="minorHAnsi" w:hAnsiTheme="minorHAnsi" w:cstheme="minorHAnsi"/>
          <w:sz w:val="22"/>
          <w:szCs w:val="22"/>
          <w:lang w:val="en-CA"/>
        </w:rPr>
        <w:t xml:space="preserve"> will</w:t>
      </w:r>
      <w:r w:rsidR="00B43BA8" w:rsidRPr="008E75FC">
        <w:rPr>
          <w:rFonts w:asciiTheme="minorHAnsi" w:hAnsiTheme="minorHAnsi" w:cstheme="minorHAnsi"/>
          <w:sz w:val="22"/>
          <w:szCs w:val="22"/>
          <w:lang w:val="en-CA"/>
        </w:rPr>
        <w:t xml:space="preserve"> therefore</w:t>
      </w:r>
      <w:r w:rsidR="002C3BE6" w:rsidRPr="008E75FC">
        <w:rPr>
          <w:rFonts w:asciiTheme="minorHAnsi" w:hAnsiTheme="minorHAnsi" w:cstheme="minorHAnsi"/>
          <w:sz w:val="22"/>
          <w:szCs w:val="22"/>
          <w:lang w:val="en-CA"/>
        </w:rPr>
        <w:t xml:space="preserve"> b</w:t>
      </w:r>
      <w:r w:rsidR="00C95D07" w:rsidRPr="008E75FC">
        <w:rPr>
          <w:rFonts w:asciiTheme="minorHAnsi" w:hAnsiTheme="minorHAnsi" w:cstheme="minorHAnsi"/>
          <w:sz w:val="22"/>
          <w:szCs w:val="22"/>
          <w:lang w:val="en-CA"/>
        </w:rPr>
        <w:t>e consulting human resources and</w:t>
      </w:r>
      <w:r w:rsidR="002C3BE6" w:rsidRPr="008E75FC">
        <w:rPr>
          <w:rFonts w:asciiTheme="minorHAnsi" w:hAnsiTheme="minorHAnsi" w:cstheme="minorHAnsi"/>
          <w:sz w:val="22"/>
          <w:szCs w:val="22"/>
          <w:lang w:val="en-CA"/>
        </w:rPr>
        <w:t xml:space="preserve"> </w:t>
      </w:r>
      <w:r w:rsidR="00070578" w:rsidRPr="008E75FC">
        <w:rPr>
          <w:rFonts w:asciiTheme="minorHAnsi" w:hAnsiTheme="minorHAnsi" w:cstheme="minorHAnsi"/>
          <w:sz w:val="22"/>
          <w:szCs w:val="22"/>
          <w:lang w:val="en-CA"/>
        </w:rPr>
        <w:t>bargaining agent</w:t>
      </w:r>
      <w:r w:rsidR="00C95D07" w:rsidRPr="008E75FC">
        <w:rPr>
          <w:rFonts w:asciiTheme="minorHAnsi" w:hAnsiTheme="minorHAnsi" w:cstheme="minorHAnsi"/>
          <w:sz w:val="22"/>
          <w:szCs w:val="22"/>
          <w:lang w:val="en-CA"/>
        </w:rPr>
        <w:t xml:space="preserve"> communities</w:t>
      </w:r>
      <w:r w:rsidR="002C3BE6" w:rsidRPr="008E75FC">
        <w:rPr>
          <w:rFonts w:asciiTheme="minorHAnsi" w:hAnsiTheme="minorHAnsi" w:cstheme="minorHAnsi"/>
          <w:sz w:val="22"/>
          <w:szCs w:val="22"/>
          <w:lang w:val="en-CA"/>
        </w:rPr>
        <w:t xml:space="preserve"> and Indigenous </w:t>
      </w:r>
      <w:r w:rsidR="00C95D07" w:rsidRPr="008E75FC">
        <w:rPr>
          <w:rFonts w:asciiTheme="minorHAnsi" w:hAnsiTheme="minorHAnsi" w:cstheme="minorHAnsi"/>
          <w:sz w:val="22"/>
          <w:szCs w:val="22"/>
          <w:lang w:val="en-CA"/>
        </w:rPr>
        <w:t>groups</w:t>
      </w:r>
      <w:r w:rsidR="002C3BE6" w:rsidRPr="008E75FC">
        <w:rPr>
          <w:rFonts w:asciiTheme="minorHAnsi" w:hAnsiTheme="minorHAnsi" w:cstheme="minorHAnsi"/>
          <w:sz w:val="22"/>
          <w:szCs w:val="22"/>
          <w:lang w:val="en-CA"/>
        </w:rPr>
        <w:t xml:space="preserve"> </w:t>
      </w:r>
      <w:r w:rsidR="00190E16" w:rsidRPr="008E75FC">
        <w:rPr>
          <w:rFonts w:asciiTheme="minorHAnsi" w:hAnsiTheme="minorHAnsi" w:cstheme="minorHAnsi"/>
          <w:sz w:val="22"/>
          <w:szCs w:val="22"/>
          <w:lang w:val="en-CA"/>
        </w:rPr>
        <w:t>inside and outside of the public service</w:t>
      </w:r>
      <w:r w:rsidR="002C3BE6" w:rsidRPr="008E75FC">
        <w:rPr>
          <w:rFonts w:asciiTheme="minorHAnsi" w:hAnsiTheme="minorHAnsi" w:cstheme="minorHAnsi"/>
          <w:sz w:val="22"/>
          <w:szCs w:val="22"/>
          <w:lang w:val="en-CA"/>
        </w:rPr>
        <w:t xml:space="preserve"> through online questionnaires and virtual meetings</w:t>
      </w:r>
      <w:r w:rsidR="00B43BA8" w:rsidRPr="008E75FC">
        <w:rPr>
          <w:rFonts w:asciiTheme="minorHAnsi" w:hAnsiTheme="minorHAnsi" w:cstheme="minorHAnsi"/>
          <w:sz w:val="22"/>
          <w:szCs w:val="22"/>
          <w:lang w:val="en-CA"/>
        </w:rPr>
        <w:t>.</w:t>
      </w:r>
    </w:p>
    <w:p w14:paraId="5F315DDD" w14:textId="4661C780" w:rsidR="00AA03F8" w:rsidRPr="008E75FC" w:rsidRDefault="00B132A9" w:rsidP="007F1DE2">
      <w:pPr>
        <w:pStyle w:val="Heading1"/>
        <w:spacing w:after="120"/>
        <w:rPr>
          <w:lang w:val="en-CA"/>
        </w:rPr>
      </w:pPr>
      <w:r w:rsidRPr="008E75FC">
        <w:rPr>
          <w:lang w:val="en-CA"/>
        </w:rPr>
        <w:t>Recruitment Programs</w:t>
      </w:r>
    </w:p>
    <w:p w14:paraId="609F6587" w14:textId="7239A0D1" w:rsidR="007A149C" w:rsidRPr="008E75FC" w:rsidRDefault="006941B3" w:rsidP="00B7094B">
      <w:pPr>
        <w:spacing w:after="120"/>
        <w:rPr>
          <w:rFonts w:asciiTheme="minorHAnsi" w:eastAsiaTheme="minorHAnsi" w:hAnsiTheme="minorHAnsi" w:cstheme="minorHAnsi"/>
          <w:bCs/>
          <w:sz w:val="22"/>
          <w:szCs w:val="22"/>
          <w:lang w:val="en-CA"/>
        </w:rPr>
      </w:pPr>
      <w:r w:rsidRPr="008E75FC">
        <w:rPr>
          <w:rFonts w:asciiTheme="minorHAnsi" w:eastAsiaTheme="minorHAnsi" w:hAnsiTheme="minorHAnsi" w:cstheme="minorHAnsi"/>
          <w:sz w:val="22"/>
          <w:szCs w:val="22"/>
          <w:lang w:val="en-CA"/>
        </w:rPr>
        <w:t>ISC</w:t>
      </w:r>
      <w:r w:rsidR="00190E16" w:rsidRPr="008E75FC">
        <w:rPr>
          <w:rFonts w:asciiTheme="minorHAnsi" w:eastAsiaTheme="minorHAnsi" w:hAnsiTheme="minorHAnsi" w:cstheme="minorHAnsi"/>
          <w:sz w:val="22"/>
          <w:szCs w:val="22"/>
          <w:lang w:val="en-CA"/>
        </w:rPr>
        <w:t xml:space="preserve"> has not yet participated in the Federal Internship Program for Canadians with Disabilities</w:t>
      </w:r>
      <w:r w:rsidR="00B43BA8" w:rsidRPr="008E75FC">
        <w:rPr>
          <w:rFonts w:asciiTheme="minorHAnsi" w:eastAsiaTheme="minorHAnsi" w:hAnsiTheme="minorHAnsi" w:cstheme="minorHAnsi"/>
          <w:sz w:val="22"/>
          <w:szCs w:val="22"/>
          <w:lang w:val="en-CA"/>
        </w:rPr>
        <w:t xml:space="preserve">, but </w:t>
      </w:r>
      <w:r w:rsidR="00921081" w:rsidRPr="008E75FC">
        <w:rPr>
          <w:rFonts w:asciiTheme="minorHAnsi" w:eastAsiaTheme="minorHAnsi" w:hAnsiTheme="minorHAnsi" w:cstheme="minorHAnsi"/>
          <w:sz w:val="22"/>
          <w:szCs w:val="22"/>
          <w:lang w:val="en-CA"/>
        </w:rPr>
        <w:t>would benefit from taking</w:t>
      </w:r>
      <w:r w:rsidR="0010607D" w:rsidRPr="008E75FC">
        <w:rPr>
          <w:rFonts w:asciiTheme="minorHAnsi" w:eastAsiaTheme="minorHAnsi" w:hAnsiTheme="minorHAnsi" w:cstheme="minorHAnsi"/>
          <w:sz w:val="22"/>
          <w:szCs w:val="22"/>
          <w:lang w:val="en-CA"/>
        </w:rPr>
        <w:t xml:space="preserve"> part in </w:t>
      </w:r>
      <w:r w:rsidR="00921081" w:rsidRPr="008E75FC">
        <w:rPr>
          <w:rFonts w:asciiTheme="minorHAnsi" w:eastAsiaTheme="minorHAnsi" w:hAnsiTheme="minorHAnsi" w:cstheme="minorHAnsi"/>
          <w:sz w:val="22"/>
          <w:szCs w:val="22"/>
          <w:lang w:val="en-CA"/>
        </w:rPr>
        <w:t>this</w:t>
      </w:r>
      <w:r w:rsidR="0010607D" w:rsidRPr="008E75FC">
        <w:rPr>
          <w:rFonts w:asciiTheme="minorHAnsi" w:eastAsiaTheme="minorHAnsi" w:hAnsiTheme="minorHAnsi" w:cstheme="minorHAnsi"/>
          <w:sz w:val="22"/>
          <w:szCs w:val="22"/>
          <w:lang w:val="en-CA"/>
        </w:rPr>
        <w:t xml:space="preserve"> program</w:t>
      </w:r>
      <w:r w:rsidRPr="008E75FC">
        <w:rPr>
          <w:rFonts w:asciiTheme="minorHAnsi" w:eastAsiaTheme="minorHAnsi" w:hAnsiTheme="minorHAnsi" w:cstheme="minorHAnsi"/>
          <w:sz w:val="22"/>
          <w:szCs w:val="22"/>
          <w:lang w:val="en-CA"/>
        </w:rPr>
        <w:t xml:space="preserve"> next year</w:t>
      </w:r>
      <w:r w:rsidR="00B43BA8" w:rsidRPr="008E75FC">
        <w:rPr>
          <w:rFonts w:asciiTheme="minorHAnsi" w:eastAsiaTheme="minorHAnsi" w:hAnsiTheme="minorHAnsi" w:cstheme="minorHAnsi"/>
          <w:sz w:val="22"/>
          <w:szCs w:val="22"/>
          <w:lang w:val="en-CA"/>
        </w:rPr>
        <w:t xml:space="preserve"> for </w:t>
      </w:r>
      <w:r w:rsidR="00825E0C" w:rsidRPr="008E75FC">
        <w:rPr>
          <w:rFonts w:asciiTheme="minorHAnsi" w:eastAsiaTheme="minorHAnsi" w:hAnsiTheme="minorHAnsi" w:cstheme="minorHAnsi"/>
          <w:sz w:val="22"/>
          <w:szCs w:val="22"/>
          <w:lang w:val="en-CA"/>
        </w:rPr>
        <w:t>several</w:t>
      </w:r>
      <w:r w:rsidR="00B43BA8" w:rsidRPr="008E75FC">
        <w:rPr>
          <w:rFonts w:asciiTheme="minorHAnsi" w:eastAsiaTheme="minorHAnsi" w:hAnsiTheme="minorHAnsi" w:cstheme="minorHAnsi"/>
          <w:sz w:val="22"/>
          <w:szCs w:val="22"/>
          <w:lang w:val="en-CA"/>
        </w:rPr>
        <w:t xml:space="preserve"> reasons: I</w:t>
      </w:r>
      <w:r w:rsidR="00921081" w:rsidRPr="008E75FC">
        <w:rPr>
          <w:rFonts w:asciiTheme="minorHAnsi" w:eastAsiaTheme="minorHAnsi" w:hAnsiTheme="minorHAnsi" w:cstheme="minorHAnsi"/>
          <w:sz w:val="22"/>
          <w:szCs w:val="22"/>
          <w:lang w:val="en-CA"/>
        </w:rPr>
        <w:t>t</w:t>
      </w:r>
      <w:r w:rsidRPr="008E75FC">
        <w:rPr>
          <w:rFonts w:asciiTheme="minorHAnsi" w:eastAsiaTheme="minorHAnsi" w:hAnsiTheme="minorHAnsi" w:cstheme="minorHAnsi"/>
          <w:sz w:val="22"/>
          <w:szCs w:val="22"/>
          <w:lang w:val="en-CA"/>
        </w:rPr>
        <w:t xml:space="preserve"> contributes to the Government of Canada Accessibility Strategy, offers a 50% salary reimbursement to hiring departments for the two-year internship period</w:t>
      </w:r>
      <w:r w:rsidR="00921081" w:rsidRPr="008E75FC">
        <w:rPr>
          <w:rFonts w:asciiTheme="minorHAnsi" w:eastAsiaTheme="minorHAnsi" w:hAnsiTheme="minorHAnsi" w:cstheme="minorHAnsi"/>
          <w:sz w:val="22"/>
          <w:szCs w:val="22"/>
          <w:lang w:val="en-CA"/>
        </w:rPr>
        <w:t>,</w:t>
      </w:r>
      <w:r w:rsidRPr="008E75FC">
        <w:rPr>
          <w:rFonts w:asciiTheme="minorHAnsi" w:eastAsiaTheme="minorHAnsi" w:hAnsiTheme="minorHAnsi" w:cstheme="minorHAnsi"/>
          <w:sz w:val="22"/>
          <w:szCs w:val="22"/>
          <w:lang w:val="en-CA"/>
        </w:rPr>
        <w:t xml:space="preserve"> and provides managers and interns with career coaching services and </w:t>
      </w:r>
      <w:r w:rsidR="0010607D" w:rsidRPr="008E75FC">
        <w:rPr>
          <w:rFonts w:asciiTheme="minorHAnsi" w:eastAsiaTheme="minorHAnsi" w:hAnsiTheme="minorHAnsi" w:cstheme="minorHAnsi"/>
          <w:sz w:val="22"/>
          <w:szCs w:val="22"/>
          <w:lang w:val="en-CA"/>
        </w:rPr>
        <w:t>tools to support</w:t>
      </w:r>
      <w:r w:rsidR="00921081" w:rsidRPr="008E75FC">
        <w:rPr>
          <w:rFonts w:asciiTheme="minorHAnsi" w:eastAsiaTheme="minorHAnsi" w:hAnsiTheme="minorHAnsi" w:cstheme="minorHAnsi"/>
          <w:sz w:val="22"/>
          <w:szCs w:val="22"/>
          <w:lang w:val="en-CA"/>
        </w:rPr>
        <w:t xml:space="preserve"> </w:t>
      </w:r>
      <w:r w:rsidR="0010607D" w:rsidRPr="008E75FC">
        <w:rPr>
          <w:rFonts w:asciiTheme="minorHAnsi" w:eastAsiaTheme="minorHAnsi" w:hAnsiTheme="minorHAnsi" w:cstheme="minorHAnsi"/>
          <w:sz w:val="22"/>
          <w:szCs w:val="22"/>
          <w:lang w:val="en-CA"/>
        </w:rPr>
        <w:t>intern</w:t>
      </w:r>
      <w:r w:rsidR="00921081" w:rsidRPr="008E75FC">
        <w:rPr>
          <w:rFonts w:asciiTheme="minorHAnsi" w:eastAsiaTheme="minorHAnsi" w:hAnsiTheme="minorHAnsi" w:cstheme="minorHAnsi"/>
          <w:sz w:val="22"/>
          <w:szCs w:val="22"/>
          <w:lang w:val="en-CA"/>
        </w:rPr>
        <w:t>s’</w:t>
      </w:r>
      <w:r w:rsidR="0010607D" w:rsidRPr="008E75FC">
        <w:rPr>
          <w:rFonts w:asciiTheme="minorHAnsi" w:eastAsiaTheme="minorHAnsi" w:hAnsiTheme="minorHAnsi" w:cstheme="minorHAnsi"/>
          <w:sz w:val="22"/>
          <w:szCs w:val="22"/>
          <w:lang w:val="en-CA"/>
        </w:rPr>
        <w:t xml:space="preserve"> development. </w:t>
      </w:r>
    </w:p>
    <w:p w14:paraId="4A2C23DC" w14:textId="75AA79DB" w:rsidR="007A149C" w:rsidRPr="008E75FC" w:rsidRDefault="0010607D" w:rsidP="00B7094B">
      <w:pPr>
        <w:keepLines/>
        <w:spacing w:after="120"/>
        <w:rPr>
          <w:rFonts w:asciiTheme="minorHAnsi" w:eastAsiaTheme="minorHAnsi" w:hAnsiTheme="minorHAnsi" w:cstheme="minorHAnsi"/>
          <w:sz w:val="22"/>
          <w:szCs w:val="22"/>
          <w:lang w:val="en-CA"/>
        </w:rPr>
      </w:pPr>
      <w:r w:rsidRPr="008E75FC">
        <w:rPr>
          <w:rFonts w:asciiTheme="minorHAnsi" w:eastAsiaTheme="minorHAnsi" w:hAnsiTheme="minorHAnsi" w:cstheme="minorHAnsi"/>
          <w:sz w:val="22"/>
          <w:szCs w:val="22"/>
          <w:lang w:val="en-CA"/>
        </w:rPr>
        <w:t>The pandemic crisis has delayed the launch of the second year of the program as</w:t>
      </w:r>
      <w:r w:rsidR="00921081" w:rsidRPr="008E75FC">
        <w:rPr>
          <w:rFonts w:asciiTheme="minorHAnsi" w:eastAsiaTheme="minorHAnsi" w:hAnsiTheme="minorHAnsi" w:cstheme="minorHAnsi"/>
          <w:sz w:val="22"/>
          <w:szCs w:val="22"/>
          <w:lang w:val="en-CA"/>
        </w:rPr>
        <w:t xml:space="preserve"> well as</w:t>
      </w:r>
      <w:r w:rsidRPr="008E75FC">
        <w:rPr>
          <w:rFonts w:asciiTheme="minorHAnsi" w:eastAsiaTheme="minorHAnsi" w:hAnsiTheme="minorHAnsi" w:cstheme="minorHAnsi"/>
          <w:sz w:val="22"/>
          <w:szCs w:val="22"/>
          <w:lang w:val="en-CA"/>
        </w:rPr>
        <w:t xml:space="preserve"> recruitment of the next intern cohort. </w:t>
      </w:r>
      <w:r w:rsidR="008F1B8A" w:rsidRPr="008E75FC">
        <w:rPr>
          <w:rFonts w:asciiTheme="minorHAnsi" w:eastAsiaTheme="minorHAnsi" w:hAnsiTheme="minorHAnsi" w:cstheme="minorHAnsi"/>
          <w:sz w:val="22"/>
          <w:szCs w:val="22"/>
          <w:lang w:val="en-CA"/>
        </w:rPr>
        <w:t xml:space="preserve">The PSC’s revised plan </w:t>
      </w:r>
      <w:r w:rsidR="00921081" w:rsidRPr="008E75FC">
        <w:rPr>
          <w:rFonts w:asciiTheme="minorHAnsi" w:eastAsiaTheme="minorHAnsi" w:hAnsiTheme="minorHAnsi" w:cstheme="minorHAnsi"/>
          <w:sz w:val="22"/>
          <w:szCs w:val="22"/>
          <w:lang w:val="en-CA"/>
        </w:rPr>
        <w:t xml:space="preserve">involves hiring </w:t>
      </w:r>
      <w:r w:rsidR="00464CF0" w:rsidRPr="008E75FC">
        <w:rPr>
          <w:rFonts w:asciiTheme="minorHAnsi" w:eastAsiaTheme="minorHAnsi" w:hAnsiTheme="minorHAnsi" w:cstheme="minorHAnsi"/>
          <w:sz w:val="22"/>
          <w:szCs w:val="22"/>
          <w:lang w:val="en-CA"/>
        </w:rPr>
        <w:t>new</w:t>
      </w:r>
      <w:r w:rsidR="008F1B8A" w:rsidRPr="008E75FC">
        <w:rPr>
          <w:rFonts w:asciiTheme="minorHAnsi" w:eastAsiaTheme="minorHAnsi" w:hAnsiTheme="minorHAnsi" w:cstheme="minorHAnsi"/>
          <w:sz w:val="22"/>
          <w:szCs w:val="22"/>
          <w:lang w:val="en-CA"/>
        </w:rPr>
        <w:t xml:space="preserve"> interns by</w:t>
      </w:r>
      <w:r w:rsidR="00C001BA" w:rsidRPr="008E75FC">
        <w:rPr>
          <w:rFonts w:asciiTheme="minorHAnsi" w:eastAsiaTheme="minorHAnsi" w:hAnsiTheme="minorHAnsi" w:cstheme="minorHAnsi"/>
          <w:sz w:val="22"/>
          <w:szCs w:val="22"/>
          <w:lang w:val="en-CA"/>
        </w:rPr>
        <w:t xml:space="preserve"> December 2020 / January 2021.</w:t>
      </w:r>
      <w:r w:rsidR="008F1B8A" w:rsidRPr="008E75FC">
        <w:rPr>
          <w:rFonts w:asciiTheme="minorHAnsi" w:eastAsiaTheme="minorHAnsi" w:hAnsiTheme="minorHAnsi" w:cstheme="minorHAnsi"/>
          <w:sz w:val="22"/>
          <w:szCs w:val="22"/>
          <w:lang w:val="en-CA"/>
        </w:rPr>
        <w:t xml:space="preserve"> The initial evaluation process for potential candid</w:t>
      </w:r>
      <w:r w:rsidR="00464CF0" w:rsidRPr="008E75FC">
        <w:rPr>
          <w:rFonts w:asciiTheme="minorHAnsi" w:eastAsiaTheme="minorHAnsi" w:hAnsiTheme="minorHAnsi" w:cstheme="minorHAnsi"/>
          <w:sz w:val="22"/>
          <w:szCs w:val="22"/>
          <w:lang w:val="en-CA"/>
        </w:rPr>
        <w:t>ates</w:t>
      </w:r>
      <w:r w:rsidR="00DD655C" w:rsidRPr="008E75FC">
        <w:rPr>
          <w:rFonts w:asciiTheme="minorHAnsi" w:eastAsiaTheme="minorHAnsi" w:hAnsiTheme="minorHAnsi" w:cstheme="minorHAnsi"/>
          <w:sz w:val="22"/>
          <w:szCs w:val="22"/>
          <w:lang w:val="en-CA"/>
        </w:rPr>
        <w:t>, as well as engagement with interested hiring managers,</w:t>
      </w:r>
      <w:r w:rsidR="00464CF0" w:rsidRPr="008E75FC">
        <w:rPr>
          <w:rFonts w:asciiTheme="minorHAnsi" w:eastAsiaTheme="minorHAnsi" w:hAnsiTheme="minorHAnsi" w:cstheme="minorHAnsi"/>
          <w:sz w:val="22"/>
          <w:szCs w:val="22"/>
          <w:lang w:val="en-CA"/>
        </w:rPr>
        <w:t xml:space="preserve"> is</w:t>
      </w:r>
      <w:r w:rsidR="00DD655C" w:rsidRPr="008E75FC">
        <w:rPr>
          <w:rFonts w:asciiTheme="minorHAnsi" w:eastAsiaTheme="minorHAnsi" w:hAnsiTheme="minorHAnsi" w:cstheme="minorHAnsi"/>
          <w:sz w:val="22"/>
          <w:szCs w:val="22"/>
          <w:lang w:val="en-CA"/>
        </w:rPr>
        <w:t xml:space="preserve"> currently</w:t>
      </w:r>
      <w:r w:rsidR="00464CF0" w:rsidRPr="008E75FC">
        <w:rPr>
          <w:rFonts w:asciiTheme="minorHAnsi" w:eastAsiaTheme="minorHAnsi" w:hAnsiTheme="minorHAnsi" w:cstheme="minorHAnsi"/>
          <w:sz w:val="22"/>
          <w:szCs w:val="22"/>
          <w:lang w:val="en-CA"/>
        </w:rPr>
        <w:t xml:space="preserve"> </w:t>
      </w:r>
      <w:r w:rsidR="00E00951" w:rsidRPr="008E75FC">
        <w:rPr>
          <w:rFonts w:asciiTheme="minorHAnsi" w:eastAsiaTheme="minorHAnsi" w:hAnsiTheme="minorHAnsi" w:cstheme="minorHAnsi"/>
          <w:sz w:val="22"/>
          <w:szCs w:val="22"/>
          <w:lang w:val="en-CA"/>
        </w:rPr>
        <w:t xml:space="preserve">under way. The </w:t>
      </w:r>
      <w:r w:rsidR="00464CF0" w:rsidRPr="008E75FC">
        <w:rPr>
          <w:rFonts w:asciiTheme="minorHAnsi" w:eastAsiaTheme="minorHAnsi" w:hAnsiTheme="minorHAnsi" w:cstheme="minorHAnsi"/>
          <w:sz w:val="22"/>
          <w:szCs w:val="22"/>
          <w:lang w:val="en-CA"/>
        </w:rPr>
        <w:t xml:space="preserve">matching phase is </w:t>
      </w:r>
      <w:r w:rsidR="00DD655C" w:rsidRPr="008E75FC">
        <w:rPr>
          <w:rFonts w:asciiTheme="minorHAnsi" w:eastAsiaTheme="minorHAnsi" w:hAnsiTheme="minorHAnsi" w:cstheme="minorHAnsi"/>
          <w:sz w:val="22"/>
          <w:szCs w:val="22"/>
          <w:lang w:val="en-CA"/>
        </w:rPr>
        <w:t>in progress</w:t>
      </w:r>
      <w:r w:rsidR="00464CF0" w:rsidRPr="008E75FC">
        <w:rPr>
          <w:rFonts w:asciiTheme="minorHAnsi" w:eastAsiaTheme="minorHAnsi" w:hAnsiTheme="minorHAnsi" w:cstheme="minorHAnsi"/>
          <w:sz w:val="22"/>
          <w:szCs w:val="22"/>
          <w:lang w:val="en-CA"/>
        </w:rPr>
        <w:t xml:space="preserve">. </w:t>
      </w:r>
      <w:r w:rsidR="008F1B8A" w:rsidRPr="008E75FC">
        <w:rPr>
          <w:rFonts w:asciiTheme="minorHAnsi" w:eastAsiaTheme="minorHAnsi" w:hAnsiTheme="minorHAnsi" w:cstheme="minorHAnsi"/>
          <w:sz w:val="22"/>
          <w:szCs w:val="22"/>
          <w:lang w:val="en-CA"/>
        </w:rPr>
        <w:t>If ISC is interested in taking part</w:t>
      </w:r>
      <w:r w:rsidR="007B063A" w:rsidRPr="008E75FC">
        <w:rPr>
          <w:rFonts w:asciiTheme="minorHAnsi" w:eastAsiaTheme="minorHAnsi" w:hAnsiTheme="minorHAnsi" w:cstheme="minorHAnsi"/>
          <w:sz w:val="22"/>
          <w:szCs w:val="22"/>
          <w:lang w:val="en-CA"/>
        </w:rPr>
        <w:t xml:space="preserve"> in this initiative</w:t>
      </w:r>
      <w:r w:rsidR="008F1B8A" w:rsidRPr="008E75FC">
        <w:rPr>
          <w:rFonts w:asciiTheme="minorHAnsi" w:eastAsiaTheme="minorHAnsi" w:hAnsiTheme="minorHAnsi" w:cstheme="minorHAnsi"/>
          <w:sz w:val="22"/>
          <w:szCs w:val="22"/>
          <w:lang w:val="en-CA"/>
        </w:rPr>
        <w:t>, program staff</w:t>
      </w:r>
      <w:r w:rsidR="007B063A" w:rsidRPr="008E75FC">
        <w:rPr>
          <w:rFonts w:asciiTheme="minorHAnsi" w:eastAsiaTheme="minorHAnsi" w:hAnsiTheme="minorHAnsi" w:cstheme="minorHAnsi"/>
          <w:sz w:val="22"/>
          <w:szCs w:val="22"/>
          <w:lang w:val="en-CA"/>
        </w:rPr>
        <w:t xml:space="preserve"> will</w:t>
      </w:r>
      <w:r w:rsidR="008F1B8A" w:rsidRPr="008E75FC">
        <w:rPr>
          <w:rFonts w:asciiTheme="minorHAnsi" w:eastAsiaTheme="minorHAnsi" w:hAnsiTheme="minorHAnsi" w:cstheme="minorHAnsi"/>
          <w:sz w:val="22"/>
          <w:szCs w:val="22"/>
          <w:lang w:val="en-CA"/>
        </w:rPr>
        <w:t xml:space="preserve"> be glad to provide </w:t>
      </w:r>
      <w:r w:rsidR="00305590" w:rsidRPr="008E75FC">
        <w:rPr>
          <w:rFonts w:asciiTheme="minorHAnsi" w:eastAsiaTheme="minorHAnsi" w:hAnsiTheme="minorHAnsi" w:cstheme="minorHAnsi"/>
          <w:sz w:val="22"/>
          <w:szCs w:val="22"/>
          <w:lang w:val="en-CA"/>
        </w:rPr>
        <w:t>further</w:t>
      </w:r>
      <w:r w:rsidR="008F1B8A" w:rsidRPr="008E75FC">
        <w:rPr>
          <w:rFonts w:asciiTheme="minorHAnsi" w:eastAsiaTheme="minorHAnsi" w:hAnsiTheme="minorHAnsi" w:cstheme="minorHAnsi"/>
          <w:sz w:val="22"/>
          <w:szCs w:val="22"/>
          <w:lang w:val="en-CA"/>
        </w:rPr>
        <w:t xml:space="preserve"> information and help the organization get started.</w:t>
      </w:r>
      <w:r w:rsidR="007A149C" w:rsidRPr="008E75FC">
        <w:rPr>
          <w:rFonts w:asciiTheme="minorHAnsi" w:eastAsiaTheme="minorHAnsi" w:hAnsiTheme="minorHAnsi" w:cstheme="minorHAnsi"/>
          <w:sz w:val="22"/>
          <w:szCs w:val="22"/>
          <w:lang w:val="en-CA"/>
        </w:rPr>
        <w:t xml:space="preserve"> </w:t>
      </w:r>
    </w:p>
    <w:p w14:paraId="39953885" w14:textId="0AA04566" w:rsidR="007A149C" w:rsidRPr="008E75FC" w:rsidRDefault="00B311C1" w:rsidP="00B7094B">
      <w:pPr>
        <w:tabs>
          <w:tab w:val="center" w:pos="4680"/>
        </w:tabs>
        <w:spacing w:after="120"/>
        <w:rPr>
          <w:rFonts w:asciiTheme="minorHAnsi" w:eastAsiaTheme="minorHAnsi" w:hAnsiTheme="minorHAnsi" w:cstheme="minorHAnsi"/>
          <w:sz w:val="22"/>
          <w:szCs w:val="22"/>
          <w:lang w:val="en-CA"/>
        </w:rPr>
      </w:pPr>
      <w:r w:rsidRPr="008E75FC">
        <w:rPr>
          <w:rFonts w:asciiTheme="minorHAnsi" w:eastAsiaTheme="minorHAnsi" w:hAnsiTheme="minorHAnsi" w:cstheme="minorHAnsi"/>
          <w:sz w:val="22"/>
          <w:szCs w:val="22"/>
          <w:lang w:val="en-CA"/>
        </w:rPr>
        <w:t>ISC</w:t>
      </w:r>
      <w:r w:rsidR="007B063A" w:rsidRPr="008E75FC">
        <w:rPr>
          <w:rFonts w:asciiTheme="minorHAnsi" w:eastAsiaTheme="minorHAnsi" w:hAnsiTheme="minorHAnsi" w:cstheme="minorHAnsi"/>
          <w:sz w:val="22"/>
          <w:szCs w:val="22"/>
          <w:lang w:val="en-CA"/>
        </w:rPr>
        <w:t xml:space="preserve"> </w:t>
      </w:r>
      <w:r w:rsidRPr="008E75FC">
        <w:rPr>
          <w:rFonts w:asciiTheme="minorHAnsi" w:eastAsiaTheme="minorHAnsi" w:hAnsiTheme="minorHAnsi" w:cstheme="minorHAnsi"/>
          <w:sz w:val="22"/>
          <w:szCs w:val="22"/>
          <w:lang w:val="en-CA"/>
        </w:rPr>
        <w:t xml:space="preserve">has </w:t>
      </w:r>
      <w:r w:rsidR="007B063A" w:rsidRPr="008E75FC">
        <w:rPr>
          <w:rFonts w:asciiTheme="minorHAnsi" w:eastAsiaTheme="minorHAnsi" w:hAnsiTheme="minorHAnsi" w:cstheme="minorHAnsi"/>
          <w:sz w:val="22"/>
          <w:szCs w:val="22"/>
          <w:lang w:val="en-CA"/>
        </w:rPr>
        <w:t xml:space="preserve">launched a targeted inventory for Indigenous students called </w:t>
      </w:r>
      <w:r w:rsidRPr="008E75FC">
        <w:rPr>
          <w:rFonts w:asciiTheme="minorHAnsi" w:eastAsiaTheme="minorHAnsi" w:hAnsiTheme="minorHAnsi" w:cstheme="minorHAnsi"/>
          <w:sz w:val="22"/>
          <w:szCs w:val="22"/>
          <w:lang w:val="en-CA"/>
        </w:rPr>
        <w:t>Treaty Pay Summer Jobs for Indigenous Students – 2020</w:t>
      </w:r>
      <w:r w:rsidR="007B063A" w:rsidRPr="008E75FC">
        <w:rPr>
          <w:rFonts w:asciiTheme="minorHAnsi" w:eastAsiaTheme="minorHAnsi" w:hAnsiTheme="minorHAnsi" w:cstheme="minorHAnsi"/>
          <w:sz w:val="22"/>
          <w:szCs w:val="22"/>
          <w:lang w:val="en-CA"/>
        </w:rPr>
        <w:t xml:space="preserve">. </w:t>
      </w:r>
      <w:r w:rsidRPr="008E75FC">
        <w:rPr>
          <w:rFonts w:asciiTheme="minorHAnsi" w:eastAsiaTheme="minorHAnsi" w:hAnsiTheme="minorHAnsi" w:cstheme="minorHAnsi"/>
          <w:sz w:val="22"/>
          <w:szCs w:val="22"/>
          <w:lang w:val="en-CA"/>
        </w:rPr>
        <w:t xml:space="preserve">This inventory was posted from November 15, 2019, to April 1, 2020, and will </w:t>
      </w:r>
      <w:r w:rsidRPr="008E75FC">
        <w:rPr>
          <w:rFonts w:asciiTheme="minorHAnsi" w:eastAsiaTheme="minorHAnsi" w:hAnsiTheme="minorHAnsi" w:cstheme="minorHAnsi"/>
          <w:sz w:val="22"/>
          <w:szCs w:val="22"/>
          <w:lang w:val="en-CA"/>
        </w:rPr>
        <w:lastRenderedPageBreak/>
        <w:t>be open/accessible until January 31, 2021. Due to the pandemic, the inventory</w:t>
      </w:r>
      <w:r w:rsidR="00FB2EDF" w:rsidRPr="008E75FC">
        <w:rPr>
          <w:rFonts w:asciiTheme="minorHAnsi" w:eastAsiaTheme="minorHAnsi" w:hAnsiTheme="minorHAnsi" w:cstheme="minorHAnsi"/>
          <w:sz w:val="22"/>
          <w:szCs w:val="22"/>
          <w:lang w:val="en-CA"/>
        </w:rPr>
        <w:t xml:space="preserve"> has</w:t>
      </w:r>
      <w:r w:rsidRPr="008E75FC">
        <w:rPr>
          <w:rFonts w:asciiTheme="minorHAnsi" w:eastAsiaTheme="minorHAnsi" w:hAnsiTheme="minorHAnsi" w:cstheme="minorHAnsi"/>
          <w:sz w:val="22"/>
          <w:szCs w:val="22"/>
          <w:lang w:val="en-CA"/>
        </w:rPr>
        <w:t xml:space="preserve"> </w:t>
      </w:r>
      <w:r w:rsidR="00030C43" w:rsidRPr="008E75FC">
        <w:rPr>
          <w:rFonts w:asciiTheme="minorHAnsi" w:eastAsiaTheme="minorHAnsi" w:hAnsiTheme="minorHAnsi" w:cstheme="minorHAnsi"/>
          <w:sz w:val="22"/>
          <w:szCs w:val="22"/>
          <w:lang w:val="en-CA"/>
        </w:rPr>
        <w:t xml:space="preserve">not </w:t>
      </w:r>
      <w:r w:rsidR="00E00951" w:rsidRPr="008E75FC">
        <w:rPr>
          <w:rFonts w:asciiTheme="minorHAnsi" w:eastAsiaTheme="minorHAnsi" w:hAnsiTheme="minorHAnsi" w:cstheme="minorHAnsi"/>
          <w:sz w:val="22"/>
          <w:szCs w:val="22"/>
          <w:lang w:val="en-CA"/>
        </w:rPr>
        <w:t xml:space="preserve">resulted in </w:t>
      </w:r>
      <w:r w:rsidRPr="008E75FC">
        <w:rPr>
          <w:rFonts w:asciiTheme="minorHAnsi" w:eastAsiaTheme="minorHAnsi" w:hAnsiTheme="minorHAnsi" w:cstheme="minorHAnsi"/>
          <w:sz w:val="22"/>
          <w:szCs w:val="22"/>
          <w:lang w:val="en-CA"/>
        </w:rPr>
        <w:t xml:space="preserve">any hiring. </w:t>
      </w:r>
    </w:p>
    <w:p w14:paraId="78B43829" w14:textId="7DAB96C5" w:rsidR="007A149C" w:rsidRPr="008E75FC" w:rsidRDefault="000B4216" w:rsidP="00B7094B">
      <w:pPr>
        <w:spacing w:after="120"/>
        <w:rPr>
          <w:rFonts w:asciiTheme="minorHAnsi" w:eastAsiaTheme="minorHAnsi" w:hAnsiTheme="minorHAnsi" w:cstheme="minorHAnsi"/>
          <w:sz w:val="22"/>
          <w:szCs w:val="22"/>
          <w:lang w:val="en-CA"/>
        </w:rPr>
      </w:pPr>
      <w:r w:rsidRPr="008E75FC">
        <w:rPr>
          <w:rFonts w:asciiTheme="minorHAnsi" w:eastAsiaTheme="minorHAnsi" w:hAnsiTheme="minorHAnsi" w:cstheme="minorHAnsi"/>
          <w:sz w:val="22"/>
          <w:szCs w:val="22"/>
          <w:lang w:val="en-CA"/>
        </w:rPr>
        <w:t xml:space="preserve">In addition, ISC has used many of the PSC’s programs to recruit employees, renew its workforce and increase workplace diversity. </w:t>
      </w:r>
      <w:r w:rsidR="0070241F" w:rsidRPr="008E75FC">
        <w:rPr>
          <w:rFonts w:asciiTheme="minorHAnsi" w:eastAsiaTheme="minorHAnsi" w:hAnsiTheme="minorHAnsi" w:cstheme="minorHAnsi"/>
          <w:sz w:val="22"/>
          <w:szCs w:val="22"/>
          <w:lang w:val="en-CA"/>
        </w:rPr>
        <w:t>These programs include the Employment Opportunity for Students with Disabilities (EOSD), the</w:t>
      </w:r>
      <w:r w:rsidR="0070241F" w:rsidRPr="008E75FC">
        <w:rPr>
          <w:rFonts w:asciiTheme="minorHAnsi" w:hAnsiTheme="minorHAnsi" w:cstheme="minorHAnsi"/>
          <w:lang w:val="en-CA"/>
        </w:rPr>
        <w:t xml:space="preserve"> </w:t>
      </w:r>
      <w:r w:rsidR="0070241F" w:rsidRPr="008E75FC">
        <w:rPr>
          <w:rFonts w:asciiTheme="minorHAnsi" w:eastAsiaTheme="minorHAnsi" w:hAnsiTheme="minorHAnsi" w:cstheme="minorHAnsi"/>
          <w:sz w:val="22"/>
          <w:szCs w:val="22"/>
          <w:lang w:val="en-CA"/>
        </w:rPr>
        <w:t>Indigenous Student Employment Opportunity (ISEO)</w:t>
      </w:r>
      <w:r w:rsidR="007A149C" w:rsidRPr="008E75FC">
        <w:rPr>
          <w:rFonts w:asciiTheme="minorHAnsi" w:eastAsiaTheme="minorHAnsi" w:hAnsiTheme="minorHAnsi" w:cstheme="minorHAnsi"/>
          <w:bCs/>
          <w:sz w:val="22"/>
          <w:szCs w:val="22"/>
          <w:lang w:val="en-CA"/>
        </w:rPr>
        <w:t xml:space="preserve">, </w:t>
      </w:r>
      <w:r w:rsidR="0070241F" w:rsidRPr="008E75FC">
        <w:rPr>
          <w:rFonts w:asciiTheme="minorHAnsi" w:eastAsiaTheme="minorHAnsi" w:hAnsiTheme="minorHAnsi" w:cstheme="minorHAnsi"/>
          <w:bCs/>
          <w:sz w:val="22"/>
          <w:szCs w:val="22"/>
          <w:lang w:val="en-CA"/>
        </w:rPr>
        <w:t xml:space="preserve">the </w:t>
      </w:r>
      <w:r w:rsidR="0070241F" w:rsidRPr="008E75FC">
        <w:rPr>
          <w:rFonts w:asciiTheme="minorHAnsi" w:eastAsiaTheme="minorHAnsi" w:hAnsiTheme="minorHAnsi" w:cstheme="minorHAnsi"/>
          <w:sz w:val="22"/>
          <w:szCs w:val="22"/>
          <w:lang w:val="en-CA"/>
        </w:rPr>
        <w:t>Federal Student Work Experience Program (FSWEP) and Post-Secondary Recruitment (PSR).</w:t>
      </w:r>
    </w:p>
    <w:p w14:paraId="570B050F" w14:textId="77777777" w:rsidR="00DC4024" w:rsidRPr="00057FE1" w:rsidRDefault="00190E16" w:rsidP="00057FE1">
      <w:pPr>
        <w:keepLines/>
        <w:rPr>
          <w:rFonts w:asciiTheme="minorHAnsi" w:hAnsiTheme="minorHAnsi" w:cstheme="minorHAnsi"/>
          <w:sz w:val="22"/>
          <w:szCs w:val="22"/>
          <w:lang w:val="en-CA"/>
        </w:rPr>
      </w:pPr>
      <w:r w:rsidRPr="008E75FC">
        <w:rPr>
          <w:rFonts w:asciiTheme="minorHAnsi" w:eastAsiaTheme="minorHAnsi" w:hAnsiTheme="minorHAnsi" w:cstheme="minorHAnsi"/>
          <w:bCs/>
          <w:sz w:val="22"/>
          <w:szCs w:val="22"/>
          <w:lang w:val="en-CA"/>
        </w:rPr>
        <w:t>Between January 1 and August 31, 2020, ISC submitted</w:t>
      </w:r>
      <w:r w:rsidR="007A149C" w:rsidRPr="008E75FC">
        <w:rPr>
          <w:rFonts w:asciiTheme="minorHAnsi" w:eastAsiaTheme="minorHAnsi" w:hAnsiTheme="minorHAnsi" w:cstheme="minorHAnsi"/>
          <w:bCs/>
          <w:sz w:val="22"/>
          <w:szCs w:val="22"/>
          <w:lang w:val="en-CA"/>
        </w:rPr>
        <w:t>:</w:t>
      </w:r>
    </w:p>
    <w:p w14:paraId="43C0B256" w14:textId="5C08C218" w:rsidR="007A149C" w:rsidRPr="008E75FC" w:rsidRDefault="00C57D01" w:rsidP="00E54EDE">
      <w:pPr>
        <w:keepLines/>
        <w:numPr>
          <w:ilvl w:val="0"/>
          <w:numId w:val="28"/>
        </w:numPr>
        <w:ind w:left="714" w:hanging="357"/>
        <w:rPr>
          <w:rFonts w:asciiTheme="minorHAnsi" w:hAnsiTheme="minorHAnsi" w:cstheme="minorHAnsi"/>
          <w:sz w:val="22"/>
          <w:szCs w:val="22"/>
          <w:lang w:val="en-CA"/>
        </w:rPr>
      </w:pPr>
      <w:r w:rsidRPr="008E75FC">
        <w:rPr>
          <w:rFonts w:asciiTheme="minorHAnsi" w:hAnsiTheme="minorHAnsi" w:cstheme="minorHAnsi"/>
          <w:bCs/>
          <w:sz w:val="22"/>
          <w:szCs w:val="22"/>
          <w:lang w:val="en-CA"/>
        </w:rPr>
        <w:t xml:space="preserve">12 </w:t>
      </w:r>
      <w:r w:rsidR="0070241F" w:rsidRPr="008E75FC">
        <w:rPr>
          <w:rFonts w:asciiTheme="minorHAnsi" w:hAnsiTheme="minorHAnsi" w:cstheme="minorHAnsi"/>
          <w:bCs/>
          <w:sz w:val="22"/>
          <w:szCs w:val="22"/>
          <w:lang w:val="en-CA"/>
        </w:rPr>
        <w:t>student referral requests for the EOSD</w:t>
      </w:r>
      <w:r w:rsidR="007A149C" w:rsidRPr="008E75FC">
        <w:rPr>
          <w:rFonts w:asciiTheme="minorHAnsi" w:hAnsiTheme="minorHAnsi" w:cstheme="minorHAnsi"/>
          <w:sz w:val="22"/>
          <w:szCs w:val="22"/>
          <w:lang w:val="en-CA"/>
        </w:rPr>
        <w:t xml:space="preserve"> </w:t>
      </w:r>
    </w:p>
    <w:p w14:paraId="528657F2" w14:textId="01CB95A5" w:rsidR="007A149C" w:rsidRPr="008E75FC" w:rsidRDefault="00C57D01" w:rsidP="00E54EDE">
      <w:pPr>
        <w:keepLines/>
        <w:numPr>
          <w:ilvl w:val="0"/>
          <w:numId w:val="28"/>
        </w:numPr>
        <w:ind w:left="714" w:hanging="357"/>
        <w:rPr>
          <w:rFonts w:asciiTheme="minorHAnsi" w:hAnsiTheme="minorHAnsi" w:cstheme="minorHAnsi"/>
          <w:sz w:val="22"/>
          <w:szCs w:val="22"/>
          <w:lang w:val="en-CA"/>
        </w:rPr>
      </w:pPr>
      <w:r w:rsidRPr="008E75FC">
        <w:rPr>
          <w:rFonts w:asciiTheme="minorHAnsi" w:hAnsiTheme="minorHAnsi" w:cstheme="minorHAnsi"/>
          <w:sz w:val="22"/>
          <w:szCs w:val="22"/>
          <w:lang w:val="en-CA"/>
        </w:rPr>
        <w:t xml:space="preserve">3 </w:t>
      </w:r>
      <w:r w:rsidR="0070241F" w:rsidRPr="008E75FC">
        <w:rPr>
          <w:rFonts w:asciiTheme="minorHAnsi" w:hAnsiTheme="minorHAnsi" w:cstheme="minorHAnsi"/>
          <w:bCs/>
          <w:sz w:val="22"/>
          <w:szCs w:val="22"/>
          <w:lang w:val="en-CA"/>
        </w:rPr>
        <w:t xml:space="preserve">student referral requests for </w:t>
      </w:r>
      <w:r w:rsidR="0070241F" w:rsidRPr="008E75FC">
        <w:rPr>
          <w:rFonts w:asciiTheme="minorHAnsi" w:hAnsiTheme="minorHAnsi" w:cstheme="minorHAnsi"/>
          <w:sz w:val="22"/>
          <w:szCs w:val="22"/>
          <w:lang w:val="en-CA"/>
        </w:rPr>
        <w:t>ISEO</w:t>
      </w:r>
    </w:p>
    <w:p w14:paraId="06E8BC6E" w14:textId="0C4F27B2" w:rsidR="007A149C" w:rsidRPr="008E75FC" w:rsidRDefault="00C57D01" w:rsidP="00E54EDE">
      <w:pPr>
        <w:keepLines/>
        <w:numPr>
          <w:ilvl w:val="0"/>
          <w:numId w:val="28"/>
        </w:numPr>
        <w:ind w:left="714" w:hanging="357"/>
        <w:rPr>
          <w:rFonts w:asciiTheme="minorHAnsi" w:hAnsiTheme="minorHAnsi" w:cstheme="minorHAnsi"/>
          <w:sz w:val="22"/>
          <w:szCs w:val="22"/>
          <w:lang w:val="en-CA"/>
        </w:rPr>
      </w:pPr>
      <w:r w:rsidRPr="008E75FC">
        <w:rPr>
          <w:rFonts w:asciiTheme="minorHAnsi" w:hAnsiTheme="minorHAnsi" w:cstheme="minorHAnsi"/>
          <w:sz w:val="22"/>
          <w:szCs w:val="22"/>
          <w:lang w:val="en-CA"/>
        </w:rPr>
        <w:t>24</w:t>
      </w:r>
      <w:r w:rsidR="007A149C" w:rsidRPr="008E75FC">
        <w:rPr>
          <w:rFonts w:asciiTheme="minorHAnsi" w:hAnsiTheme="minorHAnsi" w:cstheme="minorHAnsi"/>
          <w:sz w:val="22"/>
          <w:szCs w:val="22"/>
          <w:lang w:val="en-CA"/>
        </w:rPr>
        <w:t xml:space="preserve"> </w:t>
      </w:r>
      <w:r w:rsidR="0070241F" w:rsidRPr="008E75FC">
        <w:rPr>
          <w:rFonts w:asciiTheme="minorHAnsi" w:hAnsiTheme="minorHAnsi" w:cstheme="minorHAnsi"/>
          <w:bCs/>
          <w:sz w:val="22"/>
          <w:szCs w:val="22"/>
          <w:lang w:val="en-CA"/>
        </w:rPr>
        <w:t xml:space="preserve">student referral requests for </w:t>
      </w:r>
      <w:r w:rsidR="0070241F" w:rsidRPr="008E75FC">
        <w:rPr>
          <w:rFonts w:asciiTheme="minorHAnsi" w:hAnsiTheme="minorHAnsi" w:cstheme="minorHAnsi"/>
          <w:sz w:val="22"/>
          <w:szCs w:val="22"/>
          <w:lang w:val="en-CA"/>
        </w:rPr>
        <w:t>FSWEP</w:t>
      </w:r>
    </w:p>
    <w:p w14:paraId="29916F73" w14:textId="5C6AE0BA" w:rsidR="007A149C" w:rsidRPr="008E75FC" w:rsidRDefault="00C57D01" w:rsidP="00E54EDE">
      <w:pPr>
        <w:keepLines/>
        <w:numPr>
          <w:ilvl w:val="0"/>
          <w:numId w:val="28"/>
        </w:numPr>
        <w:tabs>
          <w:tab w:val="center" w:pos="4680"/>
        </w:tabs>
        <w:ind w:left="714" w:hanging="357"/>
        <w:rPr>
          <w:rFonts w:asciiTheme="minorHAnsi" w:hAnsiTheme="minorHAnsi" w:cstheme="minorHAnsi"/>
          <w:sz w:val="22"/>
          <w:szCs w:val="22"/>
          <w:lang w:val="en-CA"/>
        </w:rPr>
      </w:pPr>
      <w:r w:rsidRPr="008E75FC">
        <w:rPr>
          <w:rFonts w:asciiTheme="minorHAnsi" w:hAnsiTheme="minorHAnsi" w:cstheme="minorHAnsi"/>
          <w:sz w:val="22"/>
          <w:szCs w:val="22"/>
          <w:lang w:val="en-CA"/>
        </w:rPr>
        <w:t xml:space="preserve">10 </w:t>
      </w:r>
      <w:r w:rsidR="0070241F" w:rsidRPr="008E75FC">
        <w:rPr>
          <w:rFonts w:asciiTheme="minorHAnsi" w:hAnsiTheme="minorHAnsi" w:cstheme="minorHAnsi"/>
          <w:bCs/>
          <w:sz w:val="22"/>
          <w:szCs w:val="22"/>
          <w:lang w:val="en-CA"/>
        </w:rPr>
        <w:t>student referral requests for the PSR to fill</w:t>
      </w:r>
      <w:r w:rsidR="007A149C" w:rsidRPr="008E75FC">
        <w:rPr>
          <w:rFonts w:asciiTheme="minorHAnsi" w:hAnsiTheme="minorHAnsi" w:cstheme="minorHAnsi"/>
          <w:sz w:val="22"/>
          <w:szCs w:val="22"/>
          <w:lang w:val="en-CA"/>
        </w:rPr>
        <w:t xml:space="preserve"> </w:t>
      </w:r>
      <w:r w:rsidR="0070241F" w:rsidRPr="008E75FC">
        <w:rPr>
          <w:rFonts w:asciiTheme="minorHAnsi" w:hAnsiTheme="minorHAnsi" w:cstheme="minorHAnsi"/>
          <w:sz w:val="22"/>
          <w:szCs w:val="22"/>
          <w:lang w:val="en-CA"/>
        </w:rPr>
        <w:t xml:space="preserve">AS, CR and </w:t>
      </w:r>
      <w:r w:rsidR="007A149C" w:rsidRPr="008E75FC">
        <w:rPr>
          <w:rFonts w:asciiTheme="minorHAnsi" w:hAnsiTheme="minorHAnsi" w:cstheme="minorHAnsi"/>
          <w:sz w:val="22"/>
          <w:szCs w:val="22"/>
          <w:lang w:val="en-CA"/>
        </w:rPr>
        <w:t>EC</w:t>
      </w:r>
      <w:r w:rsidR="0070241F" w:rsidRPr="008E75FC">
        <w:rPr>
          <w:rFonts w:asciiTheme="minorHAnsi" w:hAnsiTheme="minorHAnsi" w:cstheme="minorHAnsi"/>
          <w:sz w:val="22"/>
          <w:szCs w:val="22"/>
          <w:lang w:val="en-CA"/>
        </w:rPr>
        <w:t xml:space="preserve"> positions</w:t>
      </w:r>
    </w:p>
    <w:p w14:paraId="4B6D5E0D" w14:textId="44370294" w:rsidR="007A149C" w:rsidRPr="008E75FC" w:rsidRDefault="00C57D01" w:rsidP="00E54EDE">
      <w:pPr>
        <w:keepLines/>
        <w:numPr>
          <w:ilvl w:val="0"/>
          <w:numId w:val="28"/>
        </w:numPr>
        <w:tabs>
          <w:tab w:val="center" w:pos="4680"/>
        </w:tabs>
        <w:spacing w:after="120"/>
        <w:ind w:left="714" w:hanging="357"/>
        <w:rPr>
          <w:rFonts w:asciiTheme="minorHAnsi" w:hAnsiTheme="minorHAnsi" w:cstheme="minorHAnsi"/>
          <w:sz w:val="22"/>
          <w:szCs w:val="22"/>
          <w:lang w:val="en-CA"/>
        </w:rPr>
      </w:pPr>
      <w:r w:rsidRPr="008E75FC">
        <w:rPr>
          <w:rFonts w:asciiTheme="minorHAnsi" w:hAnsiTheme="minorHAnsi" w:cstheme="minorHAnsi"/>
          <w:sz w:val="22"/>
          <w:szCs w:val="22"/>
          <w:lang w:val="en-CA"/>
        </w:rPr>
        <w:t xml:space="preserve">10 </w:t>
      </w:r>
      <w:r w:rsidR="0070241F" w:rsidRPr="008E75FC">
        <w:rPr>
          <w:rFonts w:asciiTheme="minorHAnsi" w:hAnsiTheme="minorHAnsi" w:cstheme="minorHAnsi"/>
          <w:bCs/>
          <w:sz w:val="22"/>
          <w:szCs w:val="22"/>
          <w:lang w:val="en-CA"/>
        </w:rPr>
        <w:t xml:space="preserve">student referral requests for the </w:t>
      </w:r>
      <w:r w:rsidR="00305590" w:rsidRPr="008E75FC">
        <w:rPr>
          <w:rFonts w:asciiTheme="minorHAnsi" w:hAnsiTheme="minorHAnsi" w:cstheme="minorHAnsi"/>
          <w:sz w:val="22"/>
          <w:szCs w:val="22"/>
          <w:lang w:val="en-CA"/>
        </w:rPr>
        <w:t>targeted inventory for Indigenous students</w:t>
      </w:r>
    </w:p>
    <w:p w14:paraId="65616892" w14:textId="77777777" w:rsidR="00C44824" w:rsidRPr="008E75FC" w:rsidRDefault="00C44824" w:rsidP="00C44824">
      <w:pPr>
        <w:rPr>
          <w:rFonts w:asciiTheme="minorHAnsi" w:eastAsiaTheme="minorHAnsi" w:hAnsiTheme="minorHAnsi" w:cstheme="minorHAnsi"/>
          <w:sz w:val="22"/>
          <w:szCs w:val="22"/>
          <w:lang w:val="en-CA"/>
        </w:rPr>
      </w:pPr>
      <w:r w:rsidRPr="008E75FC">
        <w:rPr>
          <w:rFonts w:asciiTheme="minorHAnsi" w:eastAsiaTheme="minorHAnsi" w:hAnsiTheme="minorHAnsi" w:cstheme="minorHAnsi"/>
          <w:sz w:val="22"/>
          <w:szCs w:val="22"/>
          <w:lang w:val="en-CA"/>
        </w:rPr>
        <w:t>EOSD and ISEO candidates are available year-round in the FSWEP continuous inventory.</w:t>
      </w:r>
    </w:p>
    <w:p w14:paraId="64F59EC0" w14:textId="77777777" w:rsidR="00C44824" w:rsidRPr="008E75FC" w:rsidRDefault="00C44824" w:rsidP="00B7094B">
      <w:pPr>
        <w:keepLines/>
        <w:numPr>
          <w:ilvl w:val="0"/>
          <w:numId w:val="29"/>
        </w:numPr>
        <w:spacing w:line="259" w:lineRule="auto"/>
        <w:contextualSpacing/>
        <w:rPr>
          <w:rFonts w:asciiTheme="minorHAnsi" w:eastAsiaTheme="minorHAnsi" w:hAnsiTheme="minorHAnsi" w:cstheme="minorHAnsi"/>
          <w:sz w:val="22"/>
          <w:szCs w:val="22"/>
          <w:lang w:val="en-CA"/>
        </w:rPr>
      </w:pPr>
      <w:r w:rsidRPr="008E75FC">
        <w:rPr>
          <w:rFonts w:asciiTheme="minorHAnsi" w:eastAsiaTheme="minorHAnsi" w:hAnsiTheme="minorHAnsi" w:cstheme="minorHAnsi"/>
          <w:sz w:val="22"/>
          <w:szCs w:val="22"/>
          <w:lang w:val="en-CA"/>
        </w:rPr>
        <w:t>Number of students available through the EOSD: 3,714</w:t>
      </w:r>
    </w:p>
    <w:p w14:paraId="3DD8134D" w14:textId="77777777" w:rsidR="00C44824" w:rsidRPr="008E75FC" w:rsidRDefault="00C44824" w:rsidP="00B7094B">
      <w:pPr>
        <w:keepLines/>
        <w:numPr>
          <w:ilvl w:val="0"/>
          <w:numId w:val="29"/>
        </w:numPr>
        <w:spacing w:after="120" w:line="259" w:lineRule="auto"/>
        <w:contextualSpacing/>
        <w:rPr>
          <w:rFonts w:asciiTheme="minorHAnsi" w:eastAsiaTheme="minorHAnsi" w:hAnsiTheme="minorHAnsi" w:cstheme="minorHAnsi"/>
          <w:sz w:val="22"/>
          <w:szCs w:val="22"/>
          <w:lang w:val="en-CA"/>
        </w:rPr>
      </w:pPr>
      <w:r w:rsidRPr="008E75FC">
        <w:rPr>
          <w:rFonts w:asciiTheme="minorHAnsi" w:eastAsiaTheme="minorHAnsi" w:hAnsiTheme="minorHAnsi" w:cstheme="minorHAnsi"/>
          <w:sz w:val="22"/>
          <w:szCs w:val="22"/>
          <w:lang w:val="en-CA"/>
        </w:rPr>
        <w:t>Number of students available through ISEO: 2,263</w:t>
      </w:r>
    </w:p>
    <w:p w14:paraId="3C120458" w14:textId="11C4D361" w:rsidR="007A149C" w:rsidRPr="008E75FC" w:rsidRDefault="00966E70" w:rsidP="00E54EDE">
      <w:pPr>
        <w:tabs>
          <w:tab w:val="center" w:pos="4680"/>
        </w:tabs>
        <w:spacing w:after="120"/>
        <w:rPr>
          <w:rFonts w:asciiTheme="minorHAnsi" w:eastAsiaTheme="minorHAnsi" w:hAnsiTheme="minorHAnsi" w:cstheme="minorHAnsi"/>
          <w:sz w:val="22"/>
          <w:szCs w:val="22"/>
          <w:lang w:val="en-CA"/>
        </w:rPr>
      </w:pPr>
      <w:r w:rsidRPr="008E75FC">
        <w:rPr>
          <w:rFonts w:asciiTheme="minorHAnsi" w:eastAsiaTheme="minorHAnsi" w:hAnsiTheme="minorHAnsi" w:cstheme="minorHAnsi"/>
          <w:sz w:val="22"/>
          <w:szCs w:val="22"/>
          <w:lang w:val="en-CA"/>
        </w:rPr>
        <w:t>In 2019–</w:t>
      </w:r>
      <w:r w:rsidR="007A149C" w:rsidRPr="008E75FC">
        <w:rPr>
          <w:rFonts w:asciiTheme="minorHAnsi" w:eastAsiaTheme="minorHAnsi" w:hAnsiTheme="minorHAnsi" w:cstheme="minorHAnsi"/>
          <w:sz w:val="22"/>
          <w:szCs w:val="22"/>
          <w:lang w:val="en-CA"/>
        </w:rPr>
        <w:t xml:space="preserve">2020, </w:t>
      </w:r>
      <w:r w:rsidR="00FB2EDF" w:rsidRPr="008E75FC">
        <w:rPr>
          <w:rFonts w:asciiTheme="minorHAnsi" w:eastAsiaTheme="minorHAnsi" w:hAnsiTheme="minorHAnsi" w:cstheme="minorHAnsi"/>
          <w:sz w:val="22"/>
          <w:szCs w:val="22"/>
          <w:lang w:val="en-CA"/>
        </w:rPr>
        <w:t xml:space="preserve">ISC hired </w:t>
      </w:r>
      <w:r w:rsidRPr="008E75FC">
        <w:rPr>
          <w:rFonts w:asciiTheme="minorHAnsi" w:eastAsiaTheme="minorHAnsi" w:hAnsiTheme="minorHAnsi" w:cstheme="minorHAnsi"/>
          <w:sz w:val="22"/>
          <w:szCs w:val="22"/>
          <w:lang w:val="en-CA"/>
        </w:rPr>
        <w:t>13 students through the EOSD and 60</w:t>
      </w:r>
      <w:r w:rsidR="00E00951" w:rsidRPr="008E75FC">
        <w:rPr>
          <w:rFonts w:asciiTheme="minorHAnsi" w:eastAsiaTheme="minorHAnsi" w:hAnsiTheme="minorHAnsi" w:cstheme="minorHAnsi"/>
          <w:sz w:val="22"/>
          <w:szCs w:val="22"/>
          <w:lang w:val="en-CA"/>
        </w:rPr>
        <w:t xml:space="preserve"> students</w:t>
      </w:r>
      <w:r w:rsidRPr="008E75FC">
        <w:rPr>
          <w:rFonts w:asciiTheme="minorHAnsi" w:eastAsiaTheme="minorHAnsi" w:hAnsiTheme="minorHAnsi" w:cstheme="minorHAnsi"/>
          <w:sz w:val="22"/>
          <w:szCs w:val="22"/>
          <w:lang w:val="en-CA"/>
        </w:rPr>
        <w:t xml:space="preserve"> through ISEO. </w:t>
      </w:r>
    </w:p>
    <w:p w14:paraId="6464BB7D" w14:textId="74351F8A" w:rsidR="00AA03F8" w:rsidRPr="008E75FC" w:rsidRDefault="007F1D49" w:rsidP="007F1DE2">
      <w:pPr>
        <w:pStyle w:val="Heading1"/>
        <w:spacing w:after="120"/>
        <w:rPr>
          <w:lang w:val="en-CA"/>
        </w:rPr>
      </w:pPr>
      <w:r w:rsidRPr="008E75FC">
        <w:rPr>
          <w:lang w:val="en-CA"/>
        </w:rPr>
        <w:t>Staffing Support</w:t>
      </w:r>
    </w:p>
    <w:p w14:paraId="5D62EAF2" w14:textId="3507DD2E" w:rsidR="00AA03F8" w:rsidRPr="008E75FC" w:rsidRDefault="007F1D49" w:rsidP="007F1DE2">
      <w:pPr>
        <w:pStyle w:val="Heading2"/>
        <w:spacing w:after="120"/>
        <w:rPr>
          <w:u w:val="single"/>
          <w:lang w:val="en-CA"/>
        </w:rPr>
      </w:pPr>
      <w:r w:rsidRPr="008E75FC">
        <w:rPr>
          <w:lang w:val="en-CA"/>
        </w:rPr>
        <w:t>Public Service of Commission Representatives and Organizational Contacts</w:t>
      </w:r>
    </w:p>
    <w:p w14:paraId="39CC4A92" w14:textId="77777777" w:rsidR="00B7094B" w:rsidRPr="008E75FC" w:rsidRDefault="007378D3" w:rsidP="00136403">
      <w:pPr>
        <w:pStyle w:val="NoSpacing"/>
        <w:rPr>
          <w:rFonts w:asciiTheme="minorHAnsi" w:hAnsiTheme="minorHAnsi" w:cstheme="minorHAnsi"/>
          <w:sz w:val="22"/>
          <w:szCs w:val="22"/>
          <w:lang w:val="en-CA"/>
        </w:rPr>
        <w:sectPr w:rsidR="00B7094B" w:rsidRPr="008E75FC" w:rsidSect="005D4281">
          <w:pgSz w:w="12240" w:h="15840"/>
          <w:pgMar w:top="1440" w:right="1080" w:bottom="1440" w:left="1080" w:header="709" w:footer="284" w:gutter="0"/>
          <w:cols w:space="708"/>
          <w:titlePg/>
          <w:docGrid w:linePitch="360"/>
        </w:sectPr>
      </w:pPr>
      <w:r w:rsidRPr="008E75FC">
        <w:rPr>
          <w:rFonts w:asciiTheme="minorHAnsi" w:hAnsiTheme="minorHAnsi" w:cstheme="minorHAnsi"/>
          <w:sz w:val="22"/>
          <w:szCs w:val="22"/>
          <w:lang w:val="en-CA"/>
        </w:rPr>
        <w:t xml:space="preserve">The Staffing Support Advisor (SSA) assigned to this organization is </w:t>
      </w:r>
      <w:r w:rsidR="003B35B4" w:rsidRPr="008E75FC">
        <w:rPr>
          <w:rFonts w:asciiTheme="minorHAnsi" w:hAnsiTheme="minorHAnsi" w:cstheme="minorHAnsi"/>
          <w:sz w:val="22"/>
          <w:szCs w:val="22"/>
          <w:lang w:val="en-CA"/>
        </w:rPr>
        <w:t>Gaétane Clément</w:t>
      </w:r>
      <w:r w:rsidR="000A20CC" w:rsidRPr="008E75FC">
        <w:rPr>
          <w:rFonts w:asciiTheme="minorHAnsi" w:hAnsiTheme="minorHAnsi" w:cstheme="minorHAnsi"/>
          <w:sz w:val="22"/>
          <w:szCs w:val="22"/>
          <w:lang w:val="en-CA"/>
        </w:rPr>
        <w:t>. T</w:t>
      </w:r>
      <w:r w:rsidRPr="008E75FC">
        <w:rPr>
          <w:rFonts w:asciiTheme="minorHAnsi" w:hAnsiTheme="minorHAnsi" w:cstheme="minorHAnsi"/>
          <w:sz w:val="22"/>
          <w:szCs w:val="22"/>
          <w:lang w:val="en-CA"/>
        </w:rPr>
        <w:t>he</w:t>
      </w:r>
      <w:r w:rsidR="003B35B4" w:rsidRPr="008E75FC">
        <w:rPr>
          <w:rFonts w:asciiTheme="minorHAnsi" w:hAnsiTheme="minorHAnsi" w:cstheme="minorHAnsi"/>
          <w:sz w:val="22"/>
          <w:szCs w:val="22"/>
          <w:lang w:val="en-CA"/>
        </w:rPr>
        <w:t xml:space="preserve"> primary organizational contact</w:t>
      </w:r>
      <w:r w:rsidRPr="008E75FC">
        <w:rPr>
          <w:rFonts w:asciiTheme="minorHAnsi" w:hAnsiTheme="minorHAnsi" w:cstheme="minorHAnsi"/>
          <w:sz w:val="22"/>
          <w:szCs w:val="22"/>
          <w:lang w:val="en-CA"/>
        </w:rPr>
        <w:t>s</w:t>
      </w:r>
      <w:r w:rsidR="003B35B4" w:rsidRPr="008E75FC">
        <w:rPr>
          <w:rFonts w:asciiTheme="minorHAnsi" w:hAnsiTheme="minorHAnsi" w:cstheme="minorHAnsi"/>
          <w:sz w:val="22"/>
          <w:szCs w:val="22"/>
          <w:lang w:val="en-CA"/>
        </w:rPr>
        <w:t xml:space="preserve"> </w:t>
      </w:r>
      <w:r w:rsidRPr="008E75FC">
        <w:rPr>
          <w:rFonts w:asciiTheme="minorHAnsi" w:hAnsiTheme="minorHAnsi" w:cstheme="minorHAnsi"/>
          <w:sz w:val="22"/>
          <w:szCs w:val="22"/>
          <w:lang w:val="en-CA"/>
        </w:rPr>
        <w:t xml:space="preserve">are </w:t>
      </w:r>
      <w:r w:rsidR="003B35B4" w:rsidRPr="008E75FC">
        <w:rPr>
          <w:rFonts w:asciiTheme="minorHAnsi" w:hAnsiTheme="minorHAnsi" w:cstheme="minorHAnsi"/>
          <w:sz w:val="22"/>
          <w:szCs w:val="22"/>
          <w:lang w:val="en-CA"/>
        </w:rPr>
        <w:t xml:space="preserve">Isabelle Larose, Director Policies and Programs and </w:t>
      </w:r>
      <w:proofErr w:type="spellStart"/>
      <w:r w:rsidR="003B35B4" w:rsidRPr="008E75FC">
        <w:rPr>
          <w:rFonts w:asciiTheme="minorHAnsi" w:hAnsiTheme="minorHAnsi" w:cstheme="minorHAnsi"/>
          <w:sz w:val="22"/>
          <w:szCs w:val="22"/>
          <w:lang w:val="en-CA"/>
        </w:rPr>
        <w:t>Karine</w:t>
      </w:r>
      <w:proofErr w:type="spellEnd"/>
      <w:r w:rsidR="003B35B4" w:rsidRPr="008E75FC">
        <w:rPr>
          <w:rFonts w:asciiTheme="minorHAnsi" w:hAnsiTheme="minorHAnsi" w:cstheme="minorHAnsi"/>
          <w:sz w:val="22"/>
          <w:szCs w:val="22"/>
          <w:lang w:val="en-CA"/>
        </w:rPr>
        <w:t xml:space="preserve"> </w:t>
      </w:r>
      <w:proofErr w:type="spellStart"/>
      <w:r w:rsidR="003B35B4" w:rsidRPr="008E75FC">
        <w:rPr>
          <w:rFonts w:asciiTheme="minorHAnsi" w:hAnsiTheme="minorHAnsi" w:cstheme="minorHAnsi"/>
          <w:sz w:val="22"/>
          <w:szCs w:val="22"/>
          <w:lang w:val="en-CA"/>
        </w:rPr>
        <w:t>Renoux</w:t>
      </w:r>
      <w:proofErr w:type="spellEnd"/>
      <w:r w:rsidR="003B35B4" w:rsidRPr="008E75FC">
        <w:rPr>
          <w:rFonts w:asciiTheme="minorHAnsi" w:hAnsiTheme="minorHAnsi" w:cstheme="minorHAnsi"/>
          <w:sz w:val="22"/>
          <w:szCs w:val="22"/>
          <w:lang w:val="en-CA"/>
        </w:rPr>
        <w:t>, Deputy Director General, Workplace Effectiveness</w:t>
      </w:r>
      <w:r w:rsidR="000A20CC" w:rsidRPr="008E75FC">
        <w:rPr>
          <w:rFonts w:asciiTheme="minorHAnsi" w:hAnsiTheme="minorHAnsi" w:cstheme="minorHAnsi"/>
          <w:sz w:val="22"/>
          <w:szCs w:val="22"/>
          <w:lang w:val="en-CA"/>
        </w:rPr>
        <w:t>.</w:t>
      </w:r>
      <w:r w:rsidRPr="008E75FC">
        <w:rPr>
          <w:rFonts w:asciiTheme="minorHAnsi" w:hAnsiTheme="minorHAnsi" w:cstheme="minorHAnsi"/>
          <w:sz w:val="22"/>
          <w:szCs w:val="22"/>
          <w:lang w:val="en-CA"/>
        </w:rPr>
        <w:t xml:space="preserve"> </w:t>
      </w:r>
      <w:r w:rsidR="000A20CC" w:rsidRPr="008E75FC">
        <w:rPr>
          <w:rFonts w:asciiTheme="minorHAnsi" w:hAnsiTheme="minorHAnsi" w:cstheme="minorHAnsi"/>
          <w:sz w:val="22"/>
          <w:szCs w:val="22"/>
          <w:lang w:val="en-CA"/>
        </w:rPr>
        <w:t>T</w:t>
      </w:r>
      <w:r w:rsidRPr="008E75FC">
        <w:rPr>
          <w:rFonts w:asciiTheme="minorHAnsi" w:hAnsiTheme="minorHAnsi" w:cstheme="minorHAnsi"/>
          <w:sz w:val="22"/>
          <w:szCs w:val="22"/>
          <w:lang w:val="en-CA"/>
        </w:rPr>
        <w:t xml:space="preserve">he Head of HR is </w:t>
      </w:r>
      <w:r w:rsidR="003B35B4" w:rsidRPr="008E75FC">
        <w:rPr>
          <w:rFonts w:asciiTheme="minorHAnsi" w:hAnsiTheme="minorHAnsi" w:cstheme="minorHAnsi"/>
          <w:sz w:val="22"/>
          <w:szCs w:val="22"/>
          <w:lang w:val="en-CA"/>
        </w:rPr>
        <w:t>Maryse Lavigne</w:t>
      </w:r>
      <w:r w:rsidRPr="008E75FC">
        <w:rPr>
          <w:rFonts w:asciiTheme="minorHAnsi" w:hAnsiTheme="minorHAnsi" w:cstheme="minorHAnsi"/>
          <w:sz w:val="22"/>
          <w:szCs w:val="22"/>
          <w:lang w:val="en-CA"/>
        </w:rPr>
        <w:t xml:space="preserve">, </w:t>
      </w:r>
      <w:r w:rsidR="003B35B4" w:rsidRPr="008E75FC">
        <w:rPr>
          <w:rFonts w:asciiTheme="minorHAnsi" w:hAnsiTheme="minorHAnsi" w:cstheme="minorHAnsi"/>
          <w:sz w:val="22"/>
          <w:szCs w:val="22"/>
          <w:lang w:val="en-CA"/>
        </w:rPr>
        <w:t>Director General</w:t>
      </w:r>
      <w:r w:rsidRPr="008E75FC">
        <w:rPr>
          <w:rFonts w:asciiTheme="minorHAnsi" w:hAnsiTheme="minorHAnsi" w:cstheme="minorHAnsi"/>
          <w:sz w:val="22"/>
          <w:szCs w:val="22"/>
          <w:lang w:val="en-CA"/>
        </w:rPr>
        <w:t>.</w:t>
      </w:r>
    </w:p>
    <w:p w14:paraId="5925E1B1" w14:textId="277A68BB" w:rsidR="00136403" w:rsidRPr="00855E66" w:rsidRDefault="00136403" w:rsidP="00B7094B">
      <w:pPr>
        <w:keepLines/>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59" w:lineRule="auto"/>
        <w:rPr>
          <w:rStyle w:val="Strong"/>
          <w:rFonts w:eastAsiaTheme="minorHAnsi"/>
        </w:rPr>
      </w:pPr>
      <w:r w:rsidRPr="00855E66">
        <w:rPr>
          <w:rStyle w:val="Strong"/>
          <w:rFonts w:eastAsiaTheme="minorHAnsi"/>
        </w:rPr>
        <w:lastRenderedPageBreak/>
        <w:t>PREPARED BY:</w:t>
      </w:r>
    </w:p>
    <w:p w14:paraId="58BD1E45" w14:textId="77777777" w:rsidR="00136403" w:rsidRPr="008E75FC" w:rsidRDefault="00136403" w:rsidP="00136403">
      <w:pPr>
        <w:keepLines/>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rPr>
          <w:rFonts w:asciiTheme="minorHAnsi" w:eastAsiaTheme="minorHAnsi" w:hAnsiTheme="minorHAnsi" w:cstheme="minorHAnsi"/>
          <w:sz w:val="22"/>
          <w:szCs w:val="22"/>
          <w:lang w:val="en-CA"/>
        </w:rPr>
      </w:pPr>
      <w:r w:rsidRPr="008E75FC">
        <w:rPr>
          <w:rFonts w:asciiTheme="minorHAnsi" w:eastAsiaTheme="minorHAnsi" w:hAnsiTheme="minorHAnsi" w:cstheme="minorHAnsi"/>
          <w:sz w:val="22"/>
          <w:szCs w:val="22"/>
          <w:lang w:val="en-CA"/>
        </w:rPr>
        <w:t>Gaétane Clément</w:t>
      </w:r>
    </w:p>
    <w:p w14:paraId="6A3F181A" w14:textId="77777777" w:rsidR="00136403" w:rsidRPr="008E75FC" w:rsidRDefault="00136403" w:rsidP="00136403">
      <w:pPr>
        <w:keepLines/>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59" w:lineRule="auto"/>
        <w:rPr>
          <w:rFonts w:asciiTheme="minorHAnsi" w:eastAsiaTheme="minorHAnsi" w:hAnsiTheme="minorHAnsi" w:cstheme="minorHAnsi"/>
          <w:sz w:val="22"/>
          <w:szCs w:val="22"/>
          <w:lang w:val="en-CA"/>
        </w:rPr>
      </w:pPr>
      <w:r w:rsidRPr="008E75FC">
        <w:rPr>
          <w:rFonts w:asciiTheme="minorHAnsi" w:eastAsiaTheme="minorHAnsi" w:hAnsiTheme="minorHAnsi" w:cstheme="minorHAnsi"/>
          <w:sz w:val="22"/>
          <w:szCs w:val="22"/>
          <w:lang w:val="en-CA"/>
        </w:rPr>
        <w:t>Staffing Support Advisor</w:t>
      </w:r>
    </w:p>
    <w:p w14:paraId="118C91E3" w14:textId="77777777" w:rsidR="00136403" w:rsidRPr="008E75FC" w:rsidRDefault="00136403" w:rsidP="00B70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heme="minorHAnsi" w:hAnsiTheme="minorHAnsi" w:cstheme="minorHAnsi"/>
          <w:sz w:val="22"/>
          <w:szCs w:val="22"/>
          <w:lang w:val="en-CA"/>
        </w:rPr>
      </w:pPr>
      <w:r w:rsidRPr="008E75FC">
        <w:rPr>
          <w:rFonts w:asciiTheme="minorHAnsi" w:hAnsiTheme="minorHAnsi" w:cstheme="minorHAnsi"/>
          <w:sz w:val="22"/>
          <w:szCs w:val="22"/>
          <w:lang w:val="en-CA"/>
        </w:rPr>
        <w:t>Annexes:</w:t>
      </w:r>
    </w:p>
    <w:p w14:paraId="5E25F3C0" w14:textId="77777777" w:rsidR="00B7094B" w:rsidRPr="008E75FC" w:rsidRDefault="0025296D" w:rsidP="00B7094B">
      <w:pPr>
        <w:numPr>
          <w:ilvl w:val="0"/>
          <w:numId w:val="1"/>
        </w:numPr>
        <w:spacing w:after="120"/>
        <w:ind w:left="723"/>
        <w:rPr>
          <w:rFonts w:asciiTheme="minorHAnsi" w:hAnsiTheme="minorHAnsi" w:cstheme="minorHAnsi"/>
          <w:bCs/>
          <w:sz w:val="22"/>
          <w:szCs w:val="22"/>
          <w:lang w:val="en-CA"/>
        </w:rPr>
      </w:pPr>
      <w:hyperlink w:anchor="AnnexC" w:history="1">
        <w:r w:rsidR="00B7094B" w:rsidRPr="008E75FC">
          <w:rPr>
            <w:rStyle w:val="Hyperlink"/>
            <w:rFonts w:asciiTheme="minorHAnsi" w:hAnsiTheme="minorHAnsi" w:cstheme="minorHAnsi"/>
            <w:sz w:val="22"/>
            <w:szCs w:val="22"/>
            <w:lang w:val="en-CA"/>
          </w:rPr>
          <w:t>Annex A – A New Direction in Staffing (NDS) highlights for DHs</w:t>
        </w:r>
      </w:hyperlink>
    </w:p>
    <w:p w14:paraId="0F824919" w14:textId="0703FA8F" w:rsidR="00136403" w:rsidRPr="008E75FC" w:rsidRDefault="0025296D" w:rsidP="00136403">
      <w:pPr>
        <w:numPr>
          <w:ilvl w:val="0"/>
          <w:numId w:val="1"/>
        </w:numPr>
        <w:ind w:left="723"/>
        <w:rPr>
          <w:rFonts w:asciiTheme="minorHAnsi" w:hAnsiTheme="minorHAnsi" w:cstheme="minorHAnsi"/>
          <w:bCs/>
          <w:strike/>
          <w:sz w:val="22"/>
          <w:szCs w:val="22"/>
          <w:lang w:val="en-CA"/>
        </w:rPr>
      </w:pPr>
      <w:hyperlink w:anchor="AnnexD" w:history="1">
        <w:r w:rsidR="00B7094B" w:rsidRPr="008E75FC">
          <w:rPr>
            <w:rStyle w:val="Hyperlink"/>
            <w:rFonts w:asciiTheme="minorHAnsi" w:hAnsiTheme="minorHAnsi" w:cstheme="minorHAnsi"/>
            <w:sz w:val="22"/>
            <w:szCs w:val="22"/>
            <w:lang w:val="en-CA"/>
          </w:rPr>
          <w:t>Annex B - Data on Population and Staffing Activities</w:t>
        </w:r>
      </w:hyperlink>
      <w:r w:rsidR="00136403" w:rsidRPr="008E75FC">
        <w:rPr>
          <w:rFonts w:ascii="Arial" w:hAnsi="Arial" w:cs="Arial"/>
          <w:color w:val="0070C0"/>
          <w:lang w:val="en-CA"/>
        </w:rPr>
        <w:br w:type="page"/>
      </w:r>
    </w:p>
    <w:p w14:paraId="143B0B91" w14:textId="77777777" w:rsidR="00136403" w:rsidRPr="008E75FC" w:rsidRDefault="00136403" w:rsidP="00136403">
      <w:pPr>
        <w:pStyle w:val="DataText"/>
        <w:rPr>
          <w:rFonts w:asciiTheme="minorHAnsi" w:hAnsiTheme="minorHAnsi" w:cstheme="minorHAnsi"/>
          <w:b/>
          <w:sz w:val="22"/>
          <w:szCs w:val="22"/>
          <w:lang w:val="en-CA"/>
        </w:rPr>
        <w:sectPr w:rsidR="00136403" w:rsidRPr="008E75FC" w:rsidSect="005D4281">
          <w:pgSz w:w="12240" w:h="15840"/>
          <w:pgMar w:top="1440" w:right="1080" w:bottom="1440" w:left="1080" w:header="709" w:footer="284" w:gutter="0"/>
          <w:cols w:space="708"/>
          <w:titlePg/>
          <w:docGrid w:linePitch="360"/>
        </w:sectPr>
      </w:pPr>
    </w:p>
    <w:p w14:paraId="319E698C" w14:textId="6BE08E90" w:rsidR="00B7094B" w:rsidRPr="00B47CC8" w:rsidRDefault="00B7094B" w:rsidP="00B7094B">
      <w:pPr>
        <w:pStyle w:val="Heading3"/>
        <w:jc w:val="right"/>
        <w:rPr>
          <w:lang w:val="en-CA"/>
        </w:rPr>
      </w:pPr>
      <w:bookmarkStart w:id="0" w:name="Annexe_A"/>
      <w:r w:rsidRPr="00B47CC8">
        <w:rPr>
          <w:lang w:val="en-CA"/>
        </w:rPr>
        <w:lastRenderedPageBreak/>
        <w:t>Annex A</w:t>
      </w:r>
    </w:p>
    <w:bookmarkEnd w:id="0"/>
    <w:p w14:paraId="2543FDD2" w14:textId="77777777" w:rsidR="00B7094B" w:rsidRPr="008E75FC" w:rsidRDefault="00B7094B" w:rsidP="00B7094B">
      <w:pPr>
        <w:keepNext/>
        <w:keepLines/>
        <w:spacing w:before="40" w:after="120" w:line="259" w:lineRule="auto"/>
        <w:jc w:val="center"/>
        <w:outlineLvl w:val="1"/>
        <w:rPr>
          <w:rFonts w:ascii="Segoe UI" w:eastAsiaTheme="majorEastAsia" w:hAnsi="Segoe UI" w:cs="Segoe UI"/>
          <w:b/>
          <w:color w:val="5B315E" w:themeColor="accent2"/>
          <w:sz w:val="32"/>
          <w:szCs w:val="32"/>
          <w:lang w:val="en-CA"/>
        </w:rPr>
      </w:pPr>
      <w:r w:rsidRPr="008E75FC">
        <w:rPr>
          <w:rFonts w:ascii="Segoe UI" w:eastAsiaTheme="majorEastAsia" w:hAnsi="Segoe UI" w:cs="Segoe UI"/>
          <w:b/>
          <w:color w:val="5B315E" w:themeColor="accent2"/>
          <w:sz w:val="32"/>
          <w:szCs w:val="32"/>
          <w:lang w:val="en-CA"/>
        </w:rPr>
        <w:t>A New direction in Staffing – A merit-based system that is effective, efficient and fair</w:t>
      </w:r>
    </w:p>
    <w:p w14:paraId="3C6D3296" w14:textId="77777777" w:rsidR="00B7094B" w:rsidRPr="008E75FC" w:rsidRDefault="00B7094B" w:rsidP="00B7094B">
      <w:pPr>
        <w:pStyle w:val="Heading3"/>
        <w:spacing w:after="120"/>
        <w:rPr>
          <w:lang w:val="en-CA"/>
        </w:rPr>
      </w:pPr>
      <w:r w:rsidRPr="008E75FC">
        <w:rPr>
          <w:lang w:val="en-CA"/>
        </w:rPr>
        <w:t>Appointment Policy</w:t>
      </w:r>
    </w:p>
    <w:p w14:paraId="443A8167" w14:textId="77777777" w:rsidR="00B7094B" w:rsidRPr="008E75FC" w:rsidRDefault="00B7094B" w:rsidP="00B7094B">
      <w:pPr>
        <w:keepLines/>
        <w:tabs>
          <w:tab w:val="center" w:pos="4680"/>
          <w:tab w:val="right" w:pos="9360"/>
        </w:tabs>
        <w:rPr>
          <w:rFonts w:asciiTheme="minorHAnsi" w:eastAsiaTheme="minorHAnsi" w:hAnsiTheme="minorHAnsi" w:cstheme="minorHAnsi"/>
          <w:noProof/>
          <w:sz w:val="22"/>
          <w:szCs w:val="22"/>
          <w:lang w:val="en-CA" w:eastAsia="en-CA"/>
        </w:rPr>
      </w:pPr>
      <w:r w:rsidRPr="008E75FC">
        <w:rPr>
          <w:rStyle w:val="Strong"/>
          <w:rFonts w:eastAsiaTheme="minorHAnsi" w:cstheme="minorHAnsi"/>
          <w:szCs w:val="22"/>
          <w:lang w:val="en-CA"/>
        </w:rPr>
        <w:t>New focus on core requirements</w:t>
      </w:r>
      <w:r w:rsidRPr="008E75FC">
        <w:rPr>
          <w:rFonts w:asciiTheme="minorHAnsi" w:eastAsiaTheme="minorHAnsi" w:hAnsiTheme="minorHAnsi" w:cstheme="minorHAnsi"/>
          <w:noProof/>
          <w:sz w:val="22"/>
          <w:szCs w:val="22"/>
          <w:lang w:val="en-CA" w:eastAsia="en-CA"/>
        </w:rPr>
        <w:t xml:space="preserve"> to provide sub-delegated persons greater discretion in making an appointment</w:t>
      </w:r>
    </w:p>
    <w:p w14:paraId="13832F40" w14:textId="77777777" w:rsidR="00B7094B" w:rsidRPr="008E75FC" w:rsidRDefault="00B7094B" w:rsidP="00B7094B">
      <w:pPr>
        <w:keepLines/>
        <w:numPr>
          <w:ilvl w:val="0"/>
          <w:numId w:val="4"/>
        </w:numPr>
        <w:tabs>
          <w:tab w:val="center" w:pos="4680"/>
          <w:tab w:val="right" w:pos="9360"/>
        </w:tabs>
        <w:rPr>
          <w:rFonts w:asciiTheme="minorHAnsi" w:eastAsiaTheme="minorHAnsi" w:hAnsiTheme="minorHAnsi" w:cstheme="minorHAnsi"/>
          <w:sz w:val="22"/>
          <w:szCs w:val="22"/>
          <w:lang w:val="en-CA"/>
        </w:rPr>
      </w:pPr>
      <w:r w:rsidRPr="008E75FC">
        <w:rPr>
          <w:rStyle w:val="Strong"/>
          <w:rFonts w:eastAsiaTheme="minorHAnsi" w:cstheme="minorHAnsi"/>
          <w:szCs w:val="22"/>
          <w:lang w:val="en-CA"/>
        </w:rPr>
        <w:t>One Appointment Policy</w:t>
      </w:r>
      <w:r w:rsidRPr="008E75FC">
        <w:rPr>
          <w:rFonts w:asciiTheme="minorHAnsi" w:eastAsiaTheme="minorHAnsi" w:hAnsiTheme="minorHAnsi" w:cstheme="minorHAnsi"/>
          <w:sz w:val="22"/>
          <w:szCs w:val="22"/>
          <w:lang w:val="en-CA"/>
        </w:rPr>
        <w:t>, no duplication with legal requirements</w:t>
      </w:r>
    </w:p>
    <w:p w14:paraId="2AB87422" w14:textId="77777777" w:rsidR="00B7094B" w:rsidRPr="008E75FC" w:rsidRDefault="00B7094B" w:rsidP="00B7094B">
      <w:pPr>
        <w:keepLines/>
        <w:numPr>
          <w:ilvl w:val="0"/>
          <w:numId w:val="4"/>
        </w:numPr>
        <w:tabs>
          <w:tab w:val="center" w:pos="4680"/>
          <w:tab w:val="right" w:pos="9360"/>
        </w:tabs>
        <w:rPr>
          <w:rFonts w:asciiTheme="minorHAnsi" w:eastAsiaTheme="minorHAnsi" w:hAnsiTheme="minorHAnsi" w:cstheme="minorHAnsi"/>
          <w:sz w:val="22"/>
          <w:szCs w:val="22"/>
          <w:lang w:val="en-CA"/>
        </w:rPr>
      </w:pPr>
      <w:r w:rsidRPr="008E75FC">
        <w:rPr>
          <w:rStyle w:val="Strong"/>
          <w:rFonts w:eastAsiaTheme="minorHAnsi" w:cstheme="minorHAnsi"/>
          <w:szCs w:val="22"/>
          <w:lang w:val="en-CA"/>
        </w:rPr>
        <w:t>Broader focus on values-based system</w:t>
      </w:r>
      <w:r w:rsidRPr="008E75FC">
        <w:rPr>
          <w:rFonts w:asciiTheme="minorHAnsi" w:eastAsiaTheme="minorHAnsi" w:hAnsiTheme="minorHAnsi" w:cstheme="minorBidi"/>
          <w:bCs/>
          <w:sz w:val="22"/>
          <w:szCs w:val="22"/>
          <w:lang w:val="en-CA"/>
        </w:rPr>
        <w:t>,</w:t>
      </w:r>
      <w:r w:rsidRPr="008E75FC">
        <w:rPr>
          <w:rFonts w:asciiTheme="minorHAnsi" w:eastAsiaTheme="minorHAnsi" w:hAnsiTheme="minorHAnsi" w:cstheme="minorHAnsi"/>
          <w:sz w:val="22"/>
          <w:szCs w:val="22"/>
          <w:lang w:val="en-CA"/>
        </w:rPr>
        <w:t xml:space="preserve"> away from rules-based system</w:t>
      </w:r>
    </w:p>
    <w:p w14:paraId="014BF394" w14:textId="77777777" w:rsidR="00B7094B" w:rsidRPr="008E75FC" w:rsidRDefault="00B7094B" w:rsidP="00B7094B">
      <w:pPr>
        <w:keepLines/>
        <w:numPr>
          <w:ilvl w:val="0"/>
          <w:numId w:val="4"/>
        </w:numPr>
        <w:tabs>
          <w:tab w:val="center" w:pos="4680"/>
          <w:tab w:val="right" w:pos="9360"/>
        </w:tabs>
        <w:rPr>
          <w:rFonts w:asciiTheme="minorHAnsi" w:eastAsiaTheme="minorHAnsi" w:hAnsiTheme="minorHAnsi" w:cstheme="minorHAnsi"/>
          <w:sz w:val="22"/>
          <w:szCs w:val="22"/>
          <w:lang w:val="en-CA"/>
        </w:rPr>
      </w:pPr>
      <w:r w:rsidRPr="008E75FC">
        <w:rPr>
          <w:rFonts w:asciiTheme="minorHAnsi" w:eastAsiaTheme="minorHAnsi" w:hAnsiTheme="minorHAnsi" w:cstheme="minorHAnsi"/>
          <w:sz w:val="22"/>
          <w:szCs w:val="22"/>
          <w:lang w:val="en-CA"/>
        </w:rPr>
        <w:t xml:space="preserve">Appointments Policy supported by </w:t>
      </w:r>
      <w:r w:rsidRPr="008E75FC">
        <w:rPr>
          <w:rStyle w:val="Strong"/>
          <w:rFonts w:eastAsiaTheme="minorHAnsi" w:cstheme="minorHAnsi"/>
          <w:szCs w:val="22"/>
          <w:lang w:val="en-CA"/>
        </w:rPr>
        <w:t>streamlined guidance:</w:t>
      </w:r>
    </w:p>
    <w:p w14:paraId="59CC2338" w14:textId="77777777" w:rsidR="00B7094B" w:rsidRPr="008E75FC" w:rsidRDefault="00B7094B" w:rsidP="00B7094B">
      <w:pPr>
        <w:keepLines/>
        <w:numPr>
          <w:ilvl w:val="1"/>
          <w:numId w:val="18"/>
        </w:numPr>
        <w:tabs>
          <w:tab w:val="center" w:pos="4680"/>
          <w:tab w:val="right" w:pos="9360"/>
        </w:tabs>
        <w:rPr>
          <w:rFonts w:asciiTheme="minorHAnsi" w:eastAsiaTheme="minorHAnsi" w:hAnsiTheme="minorHAnsi" w:cstheme="minorHAnsi"/>
          <w:sz w:val="22"/>
          <w:szCs w:val="22"/>
          <w:lang w:val="en-CA"/>
        </w:rPr>
      </w:pPr>
      <w:r w:rsidRPr="008E75FC">
        <w:rPr>
          <w:rFonts w:asciiTheme="minorHAnsi" w:eastAsiaTheme="minorHAnsi" w:hAnsiTheme="minorHAnsi" w:cstheme="minorHAnsi"/>
          <w:sz w:val="22"/>
          <w:szCs w:val="22"/>
          <w:lang w:val="en-CA"/>
        </w:rPr>
        <w:t>A roadmap to the requirements in legislation, regulations and policy</w:t>
      </w:r>
    </w:p>
    <w:p w14:paraId="07700CDD" w14:textId="77777777" w:rsidR="00B7094B" w:rsidRPr="008E75FC" w:rsidRDefault="00B7094B" w:rsidP="00B7094B">
      <w:pPr>
        <w:keepLines/>
        <w:numPr>
          <w:ilvl w:val="1"/>
          <w:numId w:val="18"/>
        </w:numPr>
        <w:tabs>
          <w:tab w:val="center" w:pos="4680"/>
          <w:tab w:val="right" w:pos="9360"/>
        </w:tabs>
        <w:rPr>
          <w:rFonts w:asciiTheme="minorHAnsi" w:eastAsiaTheme="minorHAnsi" w:hAnsiTheme="minorHAnsi" w:cstheme="minorHAnsi"/>
          <w:sz w:val="22"/>
          <w:szCs w:val="22"/>
          <w:lang w:val="en-CA"/>
        </w:rPr>
      </w:pPr>
      <w:r w:rsidRPr="008E75FC">
        <w:rPr>
          <w:rFonts w:asciiTheme="minorHAnsi" w:eastAsiaTheme="minorHAnsi" w:hAnsiTheme="minorHAnsi" w:cstheme="minorHAnsi"/>
          <w:sz w:val="22"/>
          <w:szCs w:val="22"/>
          <w:lang w:val="en-CA"/>
        </w:rPr>
        <w:t>Options and considerations for decision-making where there is discretion</w:t>
      </w:r>
    </w:p>
    <w:p w14:paraId="70AA4057" w14:textId="77777777" w:rsidR="00B7094B" w:rsidRPr="008E75FC" w:rsidRDefault="00B7094B" w:rsidP="00B7094B">
      <w:pPr>
        <w:keepLines/>
        <w:numPr>
          <w:ilvl w:val="0"/>
          <w:numId w:val="5"/>
        </w:numPr>
        <w:tabs>
          <w:tab w:val="center" w:pos="4680"/>
          <w:tab w:val="right" w:pos="9360"/>
        </w:tabs>
        <w:rPr>
          <w:rFonts w:asciiTheme="minorHAnsi" w:eastAsiaTheme="minorHAnsi" w:hAnsiTheme="minorHAnsi" w:cstheme="minorHAnsi"/>
          <w:sz w:val="22"/>
          <w:szCs w:val="22"/>
          <w:lang w:val="en-CA"/>
        </w:rPr>
      </w:pPr>
      <w:r w:rsidRPr="008E75FC">
        <w:rPr>
          <w:rStyle w:val="Strong"/>
          <w:rFonts w:eastAsiaTheme="minorHAnsi" w:cstheme="minorHAnsi"/>
          <w:szCs w:val="22"/>
          <w:lang w:val="en-CA"/>
        </w:rPr>
        <w:t>Clear expectations</w:t>
      </w:r>
      <w:r w:rsidRPr="008E75FC">
        <w:rPr>
          <w:rFonts w:asciiTheme="minorHAnsi" w:eastAsiaTheme="minorHAnsi" w:hAnsiTheme="minorHAnsi" w:cstheme="minorHAnsi"/>
          <w:sz w:val="22"/>
          <w:szCs w:val="22"/>
          <w:lang w:val="en-CA"/>
        </w:rPr>
        <w:t xml:space="preserve"> for priority entitlements</w:t>
      </w:r>
    </w:p>
    <w:p w14:paraId="4E734370" w14:textId="77777777" w:rsidR="00B7094B" w:rsidRPr="008E75FC" w:rsidRDefault="00B7094B" w:rsidP="00B7094B">
      <w:pPr>
        <w:keepLines/>
        <w:numPr>
          <w:ilvl w:val="0"/>
          <w:numId w:val="5"/>
        </w:numPr>
        <w:tabs>
          <w:tab w:val="center" w:pos="4680"/>
          <w:tab w:val="right" w:pos="9360"/>
        </w:tabs>
        <w:rPr>
          <w:rFonts w:asciiTheme="minorHAnsi" w:eastAsiaTheme="minorHAnsi" w:hAnsiTheme="minorHAnsi" w:cstheme="minorHAnsi"/>
          <w:sz w:val="22"/>
          <w:szCs w:val="22"/>
          <w:lang w:val="en-CA"/>
        </w:rPr>
      </w:pPr>
      <w:r w:rsidRPr="008E75FC">
        <w:rPr>
          <w:rFonts w:asciiTheme="minorHAnsi" w:eastAsiaTheme="minorHAnsi" w:hAnsiTheme="minorHAnsi" w:cstheme="minorHAnsi"/>
          <w:sz w:val="22"/>
          <w:szCs w:val="22"/>
          <w:lang w:val="en-CA"/>
        </w:rPr>
        <w:t>No restrictions to assessment methods for EX appointments</w:t>
      </w:r>
    </w:p>
    <w:p w14:paraId="36EF0704" w14:textId="77777777" w:rsidR="00B7094B" w:rsidRPr="008E75FC" w:rsidRDefault="00B7094B" w:rsidP="00B7094B">
      <w:pPr>
        <w:keepLines/>
        <w:numPr>
          <w:ilvl w:val="0"/>
          <w:numId w:val="5"/>
        </w:numPr>
        <w:tabs>
          <w:tab w:val="center" w:pos="4680"/>
          <w:tab w:val="right" w:pos="9360"/>
        </w:tabs>
        <w:spacing w:after="240"/>
        <w:ind w:left="714" w:hanging="357"/>
        <w:rPr>
          <w:rFonts w:asciiTheme="minorHAnsi" w:eastAsiaTheme="minorHAnsi" w:hAnsiTheme="minorHAnsi" w:cstheme="minorHAnsi"/>
          <w:sz w:val="22"/>
          <w:szCs w:val="22"/>
          <w:lang w:val="en-CA"/>
        </w:rPr>
      </w:pPr>
      <w:r w:rsidRPr="008E75FC">
        <w:rPr>
          <w:rFonts w:asciiTheme="minorHAnsi" w:eastAsiaTheme="minorHAnsi" w:hAnsiTheme="minorHAnsi" w:cstheme="minorHAnsi"/>
          <w:sz w:val="22"/>
          <w:szCs w:val="22"/>
          <w:lang w:val="en-CA"/>
        </w:rPr>
        <w:t>Exceptions to National Area of Selection approved by deputy head</w:t>
      </w:r>
    </w:p>
    <w:p w14:paraId="0AECEA71" w14:textId="77777777" w:rsidR="00B7094B" w:rsidRPr="008E75FC" w:rsidRDefault="00B7094B" w:rsidP="00B7094B">
      <w:pPr>
        <w:pStyle w:val="Heading3"/>
        <w:spacing w:after="120"/>
        <w:rPr>
          <w:lang w:val="en-CA"/>
        </w:rPr>
      </w:pPr>
      <w:r w:rsidRPr="008E75FC">
        <w:rPr>
          <w:lang w:val="en-CA"/>
        </w:rPr>
        <w:t>Delegation</w:t>
      </w:r>
    </w:p>
    <w:p w14:paraId="3DEA9731" w14:textId="77777777" w:rsidR="00B7094B" w:rsidRPr="008E75FC" w:rsidRDefault="00B7094B" w:rsidP="00B7094B">
      <w:pPr>
        <w:keepLines/>
        <w:numPr>
          <w:ilvl w:val="0"/>
          <w:numId w:val="7"/>
        </w:numPr>
        <w:spacing w:after="320" w:line="259" w:lineRule="auto"/>
        <w:contextualSpacing/>
        <w:rPr>
          <w:rFonts w:asciiTheme="minorHAnsi" w:eastAsiaTheme="minorHAnsi" w:hAnsiTheme="minorHAnsi" w:cstheme="minorBidi"/>
          <w:sz w:val="22"/>
          <w:szCs w:val="22"/>
          <w:lang w:val="en-CA"/>
        </w:rPr>
      </w:pPr>
      <w:r w:rsidRPr="008E75FC">
        <w:rPr>
          <w:rStyle w:val="Strong"/>
          <w:rFonts w:eastAsiaTheme="minorHAnsi" w:cstheme="minorHAnsi"/>
          <w:lang w:val="en-CA"/>
        </w:rPr>
        <w:t>New ability to customize organizational staffing system</w:t>
      </w:r>
      <w:r w:rsidRPr="008E75FC">
        <w:rPr>
          <w:rFonts w:asciiTheme="minorHAnsi" w:eastAsiaTheme="minorHAnsi" w:hAnsiTheme="minorHAnsi" w:cstheme="minorBidi"/>
          <w:sz w:val="22"/>
          <w:szCs w:val="22"/>
          <w:lang w:val="en-CA"/>
        </w:rPr>
        <w:t xml:space="preserve"> based on unique context and evolving business needs</w:t>
      </w:r>
    </w:p>
    <w:p w14:paraId="6BB6F7BC" w14:textId="77777777" w:rsidR="00B7094B" w:rsidRPr="008E75FC" w:rsidRDefault="00B7094B" w:rsidP="00B7094B">
      <w:pPr>
        <w:keepLines/>
        <w:numPr>
          <w:ilvl w:val="0"/>
          <w:numId w:val="6"/>
        </w:numPr>
        <w:spacing w:after="320" w:line="259" w:lineRule="auto"/>
        <w:contextualSpacing/>
        <w:rPr>
          <w:rFonts w:asciiTheme="minorHAnsi" w:eastAsiaTheme="minorHAnsi" w:hAnsiTheme="minorHAnsi" w:cstheme="minorBidi"/>
          <w:sz w:val="22"/>
          <w:szCs w:val="22"/>
          <w:lang w:val="en-CA"/>
        </w:rPr>
      </w:pPr>
      <w:r w:rsidRPr="008E75FC">
        <w:rPr>
          <w:rFonts w:asciiTheme="minorHAnsi" w:eastAsiaTheme="minorHAnsi" w:hAnsiTheme="minorHAnsi" w:cstheme="minorBidi"/>
          <w:sz w:val="22"/>
          <w:szCs w:val="22"/>
          <w:lang w:val="en-CA"/>
        </w:rPr>
        <w:t xml:space="preserve">Deputy head establish a direction on the </w:t>
      </w:r>
      <w:r w:rsidRPr="008E75FC">
        <w:rPr>
          <w:rStyle w:val="Strong"/>
          <w:rFonts w:eastAsiaTheme="minorHAnsi" w:cstheme="minorHAnsi"/>
          <w:lang w:val="en-CA"/>
        </w:rPr>
        <w:t>use of advertised and non-advertised</w:t>
      </w:r>
      <w:r w:rsidRPr="008E75FC">
        <w:rPr>
          <w:rFonts w:asciiTheme="minorHAnsi" w:eastAsiaTheme="minorHAnsi" w:hAnsiTheme="minorHAnsi" w:cstheme="minorBidi"/>
          <w:sz w:val="20"/>
          <w:szCs w:val="22"/>
          <w:lang w:val="en-CA"/>
        </w:rPr>
        <w:t xml:space="preserve"> </w:t>
      </w:r>
      <w:r w:rsidRPr="008E75FC">
        <w:rPr>
          <w:rFonts w:asciiTheme="minorHAnsi" w:eastAsiaTheme="minorHAnsi" w:hAnsiTheme="minorHAnsi" w:cstheme="minorBidi"/>
          <w:sz w:val="22"/>
          <w:szCs w:val="22"/>
          <w:lang w:val="en-CA"/>
        </w:rPr>
        <w:t>appointment processes</w:t>
      </w:r>
    </w:p>
    <w:p w14:paraId="654AC554" w14:textId="77777777" w:rsidR="00B7094B" w:rsidRPr="008E75FC" w:rsidRDefault="00B7094B" w:rsidP="00B7094B">
      <w:pPr>
        <w:keepLines/>
        <w:numPr>
          <w:ilvl w:val="0"/>
          <w:numId w:val="6"/>
        </w:numPr>
        <w:spacing w:after="320" w:line="259" w:lineRule="auto"/>
        <w:contextualSpacing/>
        <w:rPr>
          <w:rStyle w:val="Strong"/>
          <w:rFonts w:eastAsiaTheme="minorHAnsi" w:cstheme="minorHAnsi"/>
          <w:lang w:val="en-CA"/>
        </w:rPr>
      </w:pPr>
      <w:r w:rsidRPr="008E75FC">
        <w:rPr>
          <w:rFonts w:asciiTheme="minorHAnsi" w:eastAsiaTheme="minorHAnsi" w:hAnsiTheme="minorHAnsi" w:cstheme="minorBidi"/>
          <w:sz w:val="22"/>
          <w:szCs w:val="22"/>
          <w:lang w:val="en-CA"/>
        </w:rPr>
        <w:t xml:space="preserve">Deputy heads to establish requirement(s) for sub-delegated persons to </w:t>
      </w:r>
      <w:r w:rsidRPr="008E75FC">
        <w:rPr>
          <w:rStyle w:val="Strong"/>
          <w:rFonts w:eastAsiaTheme="minorHAnsi" w:cstheme="minorHAnsi"/>
          <w:lang w:val="en-CA"/>
        </w:rPr>
        <w:t>articulate, in writing, their selection decision</w:t>
      </w:r>
    </w:p>
    <w:p w14:paraId="00812639" w14:textId="77777777" w:rsidR="00B7094B" w:rsidRPr="008E75FC" w:rsidRDefault="00B7094B" w:rsidP="00B7094B">
      <w:pPr>
        <w:keepLines/>
        <w:numPr>
          <w:ilvl w:val="0"/>
          <w:numId w:val="6"/>
        </w:numPr>
        <w:spacing w:after="320" w:line="259" w:lineRule="auto"/>
        <w:contextualSpacing/>
        <w:rPr>
          <w:rFonts w:asciiTheme="minorHAnsi" w:eastAsiaTheme="minorHAnsi" w:hAnsiTheme="minorHAnsi" w:cstheme="minorBidi"/>
          <w:sz w:val="22"/>
          <w:szCs w:val="22"/>
          <w:lang w:val="en-CA"/>
        </w:rPr>
      </w:pPr>
      <w:r w:rsidRPr="008E75FC">
        <w:rPr>
          <w:rFonts w:asciiTheme="minorHAnsi" w:eastAsiaTheme="minorHAnsi" w:hAnsiTheme="minorHAnsi" w:cstheme="minorBidi"/>
          <w:sz w:val="22"/>
          <w:szCs w:val="22"/>
          <w:lang w:val="en-CA"/>
        </w:rPr>
        <w:t>Clarity on requirements related to investigations</w:t>
      </w:r>
    </w:p>
    <w:p w14:paraId="75A41219" w14:textId="77777777" w:rsidR="00B7094B" w:rsidRPr="008E75FC" w:rsidRDefault="00B7094B" w:rsidP="00B7094B">
      <w:pPr>
        <w:keepLines/>
        <w:numPr>
          <w:ilvl w:val="0"/>
          <w:numId w:val="6"/>
        </w:numPr>
        <w:spacing w:after="320" w:line="259" w:lineRule="auto"/>
        <w:contextualSpacing/>
        <w:rPr>
          <w:rFonts w:asciiTheme="minorHAnsi" w:eastAsiaTheme="minorHAnsi" w:hAnsiTheme="minorHAnsi" w:cstheme="minorBidi"/>
          <w:sz w:val="22"/>
          <w:szCs w:val="22"/>
          <w:lang w:val="en-CA"/>
        </w:rPr>
      </w:pPr>
      <w:r w:rsidRPr="008E75FC">
        <w:rPr>
          <w:rStyle w:val="Strong"/>
          <w:rFonts w:eastAsiaTheme="minorHAnsi" w:cstheme="minorHAnsi"/>
          <w:lang w:val="en-CA"/>
        </w:rPr>
        <w:t>Attestation form</w:t>
      </w:r>
      <w:r w:rsidRPr="008E75FC">
        <w:rPr>
          <w:rFonts w:asciiTheme="minorHAnsi" w:eastAsiaTheme="minorHAnsi" w:hAnsiTheme="minorHAnsi" w:cstheme="minorBidi"/>
          <w:sz w:val="20"/>
          <w:szCs w:val="22"/>
          <w:lang w:val="en-CA"/>
        </w:rPr>
        <w:t xml:space="preserve"> </w:t>
      </w:r>
      <w:r w:rsidRPr="008E75FC">
        <w:rPr>
          <w:rFonts w:asciiTheme="minorHAnsi" w:eastAsiaTheme="minorHAnsi" w:hAnsiTheme="minorHAnsi" w:cstheme="minorBidi"/>
          <w:sz w:val="22"/>
          <w:szCs w:val="22"/>
          <w:lang w:val="en-CA"/>
        </w:rPr>
        <w:t>to reinforce the accountabilities of sub-delegated persons</w:t>
      </w:r>
    </w:p>
    <w:p w14:paraId="32574E88" w14:textId="77777777" w:rsidR="00B7094B" w:rsidRPr="008E75FC" w:rsidRDefault="00B7094B" w:rsidP="00B7094B">
      <w:pPr>
        <w:keepLines/>
        <w:spacing w:after="360" w:line="259" w:lineRule="auto"/>
        <w:rPr>
          <w:rFonts w:asciiTheme="minorHAnsi" w:eastAsiaTheme="minorHAnsi" w:hAnsiTheme="minorHAnsi" w:cstheme="minorBidi"/>
          <w:sz w:val="22"/>
          <w:szCs w:val="22"/>
          <w:lang w:val="en-CA"/>
        </w:rPr>
      </w:pPr>
      <w:r w:rsidRPr="008E75FC">
        <w:rPr>
          <w:rFonts w:asciiTheme="minorHAnsi" w:eastAsiaTheme="minorHAnsi" w:hAnsiTheme="minorHAnsi" w:cstheme="minorBidi"/>
          <w:sz w:val="22"/>
          <w:szCs w:val="22"/>
          <w:lang w:val="en-CA"/>
        </w:rPr>
        <w:t>All PSC monitoring and reporting requirements now found in the Appointment Delegation and Accountability Instrument</w:t>
      </w:r>
    </w:p>
    <w:p w14:paraId="5A6C89C0" w14:textId="77777777" w:rsidR="00B7094B" w:rsidRPr="008E75FC" w:rsidRDefault="00B7094B" w:rsidP="00B7094B">
      <w:pPr>
        <w:pStyle w:val="Heading3"/>
        <w:spacing w:after="120"/>
        <w:rPr>
          <w:lang w:val="en-CA"/>
        </w:rPr>
      </w:pPr>
      <w:r w:rsidRPr="008E75FC">
        <w:rPr>
          <w:lang w:val="en-CA"/>
        </w:rPr>
        <w:t>Monitoring and Reporting</w:t>
      </w:r>
    </w:p>
    <w:p w14:paraId="10ED7C7F" w14:textId="77777777" w:rsidR="00B7094B" w:rsidRPr="008E75FC" w:rsidRDefault="00B7094B" w:rsidP="00B7094B">
      <w:pPr>
        <w:keepLines/>
        <w:spacing w:after="120" w:line="259" w:lineRule="auto"/>
        <w:rPr>
          <w:rFonts w:asciiTheme="minorHAnsi" w:eastAsiaTheme="minorHAnsi" w:hAnsiTheme="minorHAnsi" w:cstheme="minorBidi"/>
          <w:sz w:val="22"/>
          <w:szCs w:val="22"/>
          <w:lang w:val="en-CA"/>
        </w:rPr>
      </w:pPr>
      <w:r w:rsidRPr="008E75FC">
        <w:rPr>
          <w:rStyle w:val="Strong"/>
          <w:rFonts w:eastAsiaTheme="minorHAnsi" w:cstheme="minorHAnsi"/>
          <w:szCs w:val="22"/>
          <w:lang w:val="en-CA"/>
        </w:rPr>
        <w:t>Monitoring built by organizations</w:t>
      </w:r>
      <w:r w:rsidRPr="008E75FC">
        <w:rPr>
          <w:rFonts w:asciiTheme="minorHAnsi" w:eastAsiaTheme="minorHAnsi" w:hAnsiTheme="minorHAnsi" w:cstheme="minorBidi"/>
          <w:sz w:val="22"/>
          <w:szCs w:val="22"/>
          <w:lang w:val="en-CA"/>
        </w:rPr>
        <w:t>, targeted to their needs</w:t>
      </w:r>
    </w:p>
    <w:p w14:paraId="01CDBD47" w14:textId="77777777" w:rsidR="00B7094B" w:rsidRPr="008E75FC" w:rsidRDefault="00B7094B" w:rsidP="00B7094B">
      <w:pPr>
        <w:keepLines/>
        <w:numPr>
          <w:ilvl w:val="0"/>
          <w:numId w:val="8"/>
        </w:numPr>
        <w:spacing w:after="320" w:line="259" w:lineRule="auto"/>
        <w:contextualSpacing/>
        <w:rPr>
          <w:rFonts w:asciiTheme="minorHAnsi" w:eastAsiaTheme="minorHAnsi" w:hAnsiTheme="minorHAnsi" w:cstheme="minorBidi"/>
          <w:sz w:val="22"/>
          <w:szCs w:val="22"/>
          <w:lang w:val="en-CA"/>
        </w:rPr>
      </w:pPr>
      <w:r w:rsidRPr="008E75FC">
        <w:rPr>
          <w:rFonts w:asciiTheme="minorHAnsi" w:eastAsiaTheme="minorHAnsi" w:hAnsiTheme="minorHAnsi" w:cstheme="minorBidi"/>
          <w:sz w:val="22"/>
          <w:szCs w:val="22"/>
          <w:lang w:val="en-CA"/>
        </w:rPr>
        <w:t>Annual Departmental Staffing Accountability Report no longer required</w:t>
      </w:r>
    </w:p>
    <w:p w14:paraId="4CE2F58E" w14:textId="77777777" w:rsidR="00B7094B" w:rsidRPr="008E75FC" w:rsidRDefault="00B7094B" w:rsidP="00B7094B">
      <w:pPr>
        <w:keepLines/>
        <w:numPr>
          <w:ilvl w:val="0"/>
          <w:numId w:val="8"/>
        </w:numPr>
        <w:spacing w:after="320" w:line="259" w:lineRule="auto"/>
        <w:contextualSpacing/>
        <w:rPr>
          <w:rFonts w:asciiTheme="minorHAnsi" w:eastAsiaTheme="minorHAnsi" w:hAnsiTheme="minorHAnsi" w:cstheme="minorBidi"/>
          <w:sz w:val="22"/>
          <w:szCs w:val="22"/>
          <w:lang w:val="en-CA"/>
        </w:rPr>
      </w:pPr>
      <w:r w:rsidRPr="008E75FC">
        <w:rPr>
          <w:rStyle w:val="Strong"/>
          <w:rFonts w:eastAsiaTheme="minorHAnsi" w:cstheme="minorHAnsi"/>
          <w:szCs w:val="22"/>
          <w:lang w:val="en-CA"/>
        </w:rPr>
        <w:t>Annual reporting to the PSC limited</w:t>
      </w:r>
      <w:r w:rsidRPr="008E75FC">
        <w:rPr>
          <w:rFonts w:asciiTheme="minorHAnsi" w:eastAsiaTheme="minorHAnsi" w:hAnsiTheme="minorHAnsi" w:cstheme="minorBidi"/>
          <w:sz w:val="22"/>
          <w:szCs w:val="22"/>
          <w:lang w:val="en-CA"/>
        </w:rPr>
        <w:t xml:space="preserve"> to:</w:t>
      </w:r>
    </w:p>
    <w:p w14:paraId="39F31B3C" w14:textId="77777777" w:rsidR="00B7094B" w:rsidRPr="008E75FC" w:rsidRDefault="00B7094B" w:rsidP="00B7094B">
      <w:pPr>
        <w:keepLines/>
        <w:numPr>
          <w:ilvl w:val="1"/>
          <w:numId w:val="8"/>
        </w:numPr>
        <w:spacing w:after="320" w:line="259" w:lineRule="auto"/>
        <w:contextualSpacing/>
        <w:rPr>
          <w:rFonts w:asciiTheme="minorHAnsi" w:eastAsiaTheme="minorHAnsi" w:hAnsiTheme="minorHAnsi" w:cstheme="minorBidi"/>
          <w:sz w:val="22"/>
          <w:szCs w:val="22"/>
          <w:lang w:val="en-CA"/>
        </w:rPr>
      </w:pPr>
      <w:r w:rsidRPr="008E75FC">
        <w:rPr>
          <w:rFonts w:asciiTheme="minorHAnsi" w:eastAsiaTheme="minorHAnsi" w:hAnsiTheme="minorHAnsi" w:cstheme="minorBidi"/>
          <w:sz w:val="22"/>
          <w:szCs w:val="22"/>
          <w:lang w:val="en-CA"/>
        </w:rPr>
        <w:t>Use of Public Service Official Language Exclusion Approval Order</w:t>
      </w:r>
    </w:p>
    <w:p w14:paraId="3E68A4B0" w14:textId="77777777" w:rsidR="00B7094B" w:rsidRPr="008E75FC" w:rsidRDefault="00B7094B" w:rsidP="00B7094B">
      <w:pPr>
        <w:keepLines/>
        <w:numPr>
          <w:ilvl w:val="1"/>
          <w:numId w:val="8"/>
        </w:numPr>
        <w:spacing w:after="320" w:line="259" w:lineRule="auto"/>
        <w:contextualSpacing/>
        <w:rPr>
          <w:rFonts w:asciiTheme="minorHAnsi" w:eastAsiaTheme="minorHAnsi" w:hAnsiTheme="minorHAnsi" w:cstheme="minorBidi"/>
          <w:sz w:val="22"/>
          <w:szCs w:val="22"/>
          <w:lang w:val="en-CA"/>
        </w:rPr>
      </w:pPr>
      <w:r w:rsidRPr="008E75FC">
        <w:rPr>
          <w:rFonts w:asciiTheme="minorHAnsi" w:eastAsiaTheme="minorHAnsi" w:hAnsiTheme="minorHAnsi" w:cstheme="minorBidi"/>
          <w:sz w:val="22"/>
          <w:szCs w:val="22"/>
          <w:lang w:val="en-CA"/>
        </w:rPr>
        <w:t>Exceptions to the National Area of Selection approved by the deputy head</w:t>
      </w:r>
    </w:p>
    <w:p w14:paraId="4F82D040" w14:textId="77777777" w:rsidR="00B7094B" w:rsidRPr="008E75FC" w:rsidRDefault="00B7094B" w:rsidP="00B7094B">
      <w:pPr>
        <w:keepLines/>
        <w:numPr>
          <w:ilvl w:val="1"/>
          <w:numId w:val="8"/>
        </w:numPr>
        <w:spacing w:after="320" w:line="259" w:lineRule="auto"/>
        <w:contextualSpacing/>
        <w:rPr>
          <w:rFonts w:asciiTheme="minorHAnsi" w:eastAsiaTheme="minorHAnsi" w:hAnsiTheme="minorHAnsi" w:cstheme="minorBidi"/>
          <w:sz w:val="22"/>
          <w:szCs w:val="22"/>
          <w:lang w:val="en-CA"/>
        </w:rPr>
      </w:pPr>
      <w:r w:rsidRPr="008E75FC">
        <w:rPr>
          <w:rFonts w:asciiTheme="minorHAnsi" w:eastAsiaTheme="minorHAnsi" w:hAnsiTheme="minorHAnsi" w:cstheme="minorBidi"/>
          <w:sz w:val="22"/>
          <w:szCs w:val="22"/>
          <w:lang w:val="en-CA"/>
        </w:rPr>
        <w:t>Results of any internal investigations</w:t>
      </w:r>
    </w:p>
    <w:p w14:paraId="687BF8B2" w14:textId="77777777" w:rsidR="00B7094B" w:rsidRPr="008E75FC" w:rsidRDefault="00B7094B" w:rsidP="00B7094B">
      <w:pPr>
        <w:keepLines/>
        <w:numPr>
          <w:ilvl w:val="1"/>
          <w:numId w:val="8"/>
        </w:numPr>
        <w:spacing w:after="320" w:line="259" w:lineRule="auto"/>
        <w:contextualSpacing/>
        <w:rPr>
          <w:rFonts w:asciiTheme="minorHAnsi" w:eastAsiaTheme="minorHAnsi" w:hAnsiTheme="minorHAnsi" w:cstheme="minorBidi"/>
          <w:sz w:val="22"/>
          <w:szCs w:val="22"/>
          <w:lang w:val="en-CA"/>
        </w:rPr>
      </w:pPr>
      <w:r w:rsidRPr="008E75FC">
        <w:rPr>
          <w:rFonts w:asciiTheme="minorHAnsi" w:eastAsiaTheme="minorHAnsi" w:hAnsiTheme="minorHAnsi" w:cstheme="minorBidi"/>
          <w:sz w:val="22"/>
          <w:szCs w:val="22"/>
          <w:lang w:val="en-CA"/>
        </w:rPr>
        <w:t>Actions taken following any PSC investigations or audits.</w:t>
      </w:r>
    </w:p>
    <w:p w14:paraId="7700AF82" w14:textId="77777777" w:rsidR="00B7094B" w:rsidRPr="008E75FC" w:rsidRDefault="00B7094B" w:rsidP="00B7094B">
      <w:pPr>
        <w:keepLines/>
        <w:numPr>
          <w:ilvl w:val="0"/>
          <w:numId w:val="9"/>
        </w:numPr>
        <w:spacing w:after="320" w:line="259" w:lineRule="auto"/>
        <w:contextualSpacing/>
        <w:rPr>
          <w:rFonts w:asciiTheme="minorHAnsi" w:eastAsiaTheme="minorHAnsi" w:hAnsiTheme="minorHAnsi" w:cstheme="minorBidi"/>
          <w:sz w:val="22"/>
          <w:szCs w:val="22"/>
          <w:lang w:val="en-CA"/>
        </w:rPr>
      </w:pPr>
      <w:r w:rsidRPr="008E75FC">
        <w:rPr>
          <w:rFonts w:asciiTheme="minorHAnsi" w:eastAsiaTheme="minorHAnsi" w:hAnsiTheme="minorHAnsi" w:cstheme="minorBidi"/>
          <w:sz w:val="22"/>
          <w:szCs w:val="22"/>
          <w:lang w:val="en-CA"/>
        </w:rPr>
        <w:t xml:space="preserve">Deputy head responsible for </w:t>
      </w:r>
      <w:r w:rsidRPr="008E75FC">
        <w:rPr>
          <w:rStyle w:val="Strong"/>
          <w:rFonts w:eastAsiaTheme="minorHAnsi" w:cstheme="minorHAnsi"/>
          <w:szCs w:val="22"/>
          <w:lang w:val="en-CA"/>
        </w:rPr>
        <w:t>ongoing monitoring of organizational staffing system</w:t>
      </w:r>
      <w:r w:rsidRPr="008E75FC">
        <w:rPr>
          <w:rFonts w:asciiTheme="minorHAnsi" w:eastAsiaTheme="minorHAnsi" w:hAnsiTheme="minorHAnsi" w:cstheme="minorBidi"/>
          <w:sz w:val="22"/>
          <w:szCs w:val="22"/>
          <w:lang w:val="en-CA"/>
        </w:rPr>
        <w:t xml:space="preserve"> based on the organization’s unique context</w:t>
      </w:r>
    </w:p>
    <w:p w14:paraId="705A0F2D" w14:textId="77777777" w:rsidR="00B7094B" w:rsidRPr="008E75FC" w:rsidRDefault="00B7094B" w:rsidP="00B7094B">
      <w:pPr>
        <w:keepLines/>
        <w:numPr>
          <w:ilvl w:val="1"/>
          <w:numId w:val="9"/>
        </w:numPr>
        <w:spacing w:after="320" w:line="259" w:lineRule="auto"/>
        <w:contextualSpacing/>
        <w:rPr>
          <w:rFonts w:asciiTheme="minorHAnsi" w:eastAsiaTheme="minorHAnsi" w:hAnsiTheme="minorHAnsi" w:cstheme="minorBidi"/>
          <w:sz w:val="22"/>
          <w:szCs w:val="22"/>
          <w:lang w:val="en-CA"/>
        </w:rPr>
      </w:pPr>
      <w:r w:rsidRPr="008E75FC">
        <w:rPr>
          <w:rStyle w:val="Strong"/>
          <w:rFonts w:eastAsiaTheme="minorHAnsi" w:cstheme="minorHAnsi"/>
          <w:szCs w:val="22"/>
          <w:lang w:val="en-CA"/>
        </w:rPr>
        <w:t>Assessment of adherence to requirements</w:t>
      </w:r>
      <w:r w:rsidRPr="008E75FC">
        <w:rPr>
          <w:rFonts w:asciiTheme="minorHAnsi" w:eastAsiaTheme="minorHAnsi" w:hAnsiTheme="minorHAnsi" w:cstheme="minorBidi"/>
          <w:sz w:val="22"/>
          <w:szCs w:val="22"/>
          <w:lang w:val="en-CA"/>
        </w:rPr>
        <w:t>, based on organization’s own risks, at the minimum every five years</w:t>
      </w:r>
    </w:p>
    <w:p w14:paraId="4A05226A" w14:textId="77777777" w:rsidR="00B7094B" w:rsidRPr="008E75FC" w:rsidRDefault="00B7094B" w:rsidP="00B7094B">
      <w:pPr>
        <w:pStyle w:val="Heading3"/>
        <w:spacing w:after="120"/>
        <w:rPr>
          <w:lang w:val="en-CA"/>
        </w:rPr>
      </w:pPr>
      <w:r w:rsidRPr="008E75FC">
        <w:rPr>
          <w:lang w:val="en-CA"/>
        </w:rPr>
        <w:lastRenderedPageBreak/>
        <w:t>PSC Oversight</w:t>
      </w:r>
    </w:p>
    <w:p w14:paraId="42061A18" w14:textId="77777777" w:rsidR="00B7094B" w:rsidRPr="008E75FC" w:rsidRDefault="00B7094B" w:rsidP="00B7094B">
      <w:pPr>
        <w:keepLines/>
        <w:spacing w:after="120" w:line="259" w:lineRule="auto"/>
        <w:rPr>
          <w:rFonts w:asciiTheme="minorHAnsi" w:eastAsiaTheme="minorHAnsi" w:hAnsiTheme="minorHAnsi" w:cstheme="minorBidi"/>
          <w:sz w:val="22"/>
          <w:szCs w:val="22"/>
          <w:lang w:val="en-CA"/>
        </w:rPr>
      </w:pPr>
      <w:r w:rsidRPr="008E75FC">
        <w:rPr>
          <w:rFonts w:asciiTheme="minorHAnsi" w:eastAsiaTheme="minorHAnsi" w:hAnsiTheme="minorHAnsi" w:cstheme="minorBidi"/>
          <w:sz w:val="22"/>
          <w:szCs w:val="22"/>
          <w:lang w:val="en-CA"/>
        </w:rPr>
        <w:t>System wide-focus</w:t>
      </w:r>
    </w:p>
    <w:p w14:paraId="7F23DF89" w14:textId="77777777" w:rsidR="00B7094B" w:rsidRPr="008E75FC" w:rsidRDefault="00B7094B" w:rsidP="00B7094B">
      <w:pPr>
        <w:keepLines/>
        <w:numPr>
          <w:ilvl w:val="0"/>
          <w:numId w:val="10"/>
        </w:numPr>
        <w:spacing w:line="259" w:lineRule="auto"/>
        <w:rPr>
          <w:rStyle w:val="Strong"/>
          <w:rFonts w:eastAsiaTheme="minorHAnsi" w:cstheme="minorHAnsi"/>
          <w:lang w:val="en-CA"/>
        </w:rPr>
      </w:pPr>
      <w:r w:rsidRPr="008E75FC">
        <w:rPr>
          <w:rStyle w:val="Strong"/>
          <w:rFonts w:eastAsiaTheme="minorHAnsi" w:cstheme="minorHAnsi"/>
          <w:lang w:val="en-CA"/>
        </w:rPr>
        <w:t>Government-wide compliance audit every two years</w:t>
      </w:r>
    </w:p>
    <w:p w14:paraId="1E437C4A" w14:textId="77777777" w:rsidR="00B7094B" w:rsidRPr="008E75FC" w:rsidRDefault="00B7094B" w:rsidP="00B7094B">
      <w:pPr>
        <w:keepLines/>
        <w:numPr>
          <w:ilvl w:val="0"/>
          <w:numId w:val="10"/>
        </w:numPr>
        <w:spacing w:line="259" w:lineRule="auto"/>
        <w:rPr>
          <w:rFonts w:asciiTheme="minorHAnsi" w:eastAsiaTheme="minorHAnsi" w:hAnsiTheme="minorHAnsi" w:cstheme="minorBidi"/>
          <w:sz w:val="22"/>
          <w:szCs w:val="22"/>
          <w:lang w:val="en-CA"/>
        </w:rPr>
      </w:pPr>
      <w:r w:rsidRPr="008E75FC">
        <w:rPr>
          <w:rStyle w:val="Strong"/>
          <w:rFonts w:eastAsiaTheme="minorHAnsi" w:cstheme="minorHAnsi"/>
          <w:lang w:val="en-CA"/>
        </w:rPr>
        <w:t>Renewed Survey of Staffing</w:t>
      </w:r>
      <w:r w:rsidRPr="008E75FC">
        <w:rPr>
          <w:rFonts w:asciiTheme="minorHAnsi" w:eastAsiaTheme="minorHAnsi" w:hAnsiTheme="minorHAnsi" w:cstheme="minorBidi"/>
          <w:sz w:val="20"/>
          <w:szCs w:val="22"/>
          <w:lang w:val="en-CA"/>
        </w:rPr>
        <w:t xml:space="preserve"> </w:t>
      </w:r>
      <w:r w:rsidRPr="008E75FC">
        <w:rPr>
          <w:rFonts w:asciiTheme="minorHAnsi" w:eastAsiaTheme="minorHAnsi" w:hAnsiTheme="minorHAnsi" w:cstheme="minorBidi"/>
          <w:sz w:val="22"/>
          <w:szCs w:val="22"/>
          <w:lang w:val="en-CA"/>
        </w:rPr>
        <w:t>administered in alternating years with government-wide audit</w:t>
      </w:r>
    </w:p>
    <w:p w14:paraId="1E03DD8E" w14:textId="77777777" w:rsidR="00B7094B" w:rsidRPr="008E75FC" w:rsidRDefault="00B7094B" w:rsidP="00B7094B">
      <w:pPr>
        <w:keepLines/>
        <w:numPr>
          <w:ilvl w:val="0"/>
          <w:numId w:val="10"/>
        </w:numPr>
        <w:spacing w:line="259" w:lineRule="auto"/>
        <w:rPr>
          <w:rFonts w:asciiTheme="minorHAnsi" w:eastAsiaTheme="minorHAnsi" w:hAnsiTheme="minorHAnsi" w:cstheme="minorBidi"/>
          <w:sz w:val="22"/>
          <w:szCs w:val="22"/>
          <w:lang w:val="en-CA"/>
        </w:rPr>
      </w:pPr>
      <w:r w:rsidRPr="008E75FC">
        <w:rPr>
          <w:rStyle w:val="Strong"/>
          <w:rFonts w:eastAsiaTheme="minorHAnsi" w:cstheme="minorHAnsi"/>
          <w:lang w:val="en-CA"/>
        </w:rPr>
        <w:t>System-wide effectiveness and efficiency reviews</w:t>
      </w:r>
      <w:r w:rsidRPr="008E75FC">
        <w:rPr>
          <w:rFonts w:asciiTheme="minorHAnsi" w:eastAsiaTheme="minorHAnsi" w:hAnsiTheme="minorHAnsi" w:cstheme="minorBidi"/>
          <w:sz w:val="20"/>
          <w:szCs w:val="22"/>
          <w:lang w:val="en-CA"/>
        </w:rPr>
        <w:t xml:space="preserve"> </w:t>
      </w:r>
      <w:r w:rsidRPr="008E75FC">
        <w:rPr>
          <w:rFonts w:asciiTheme="minorHAnsi" w:eastAsiaTheme="minorHAnsi" w:hAnsiTheme="minorHAnsi" w:cstheme="minorBidi"/>
          <w:sz w:val="22"/>
          <w:szCs w:val="22"/>
          <w:lang w:val="en-CA"/>
        </w:rPr>
        <w:t>to support continuous improvement</w:t>
      </w:r>
    </w:p>
    <w:p w14:paraId="15574CAE" w14:textId="77777777" w:rsidR="00B7094B" w:rsidRPr="008E75FC" w:rsidRDefault="00B7094B" w:rsidP="00B7094B">
      <w:pPr>
        <w:keepLines/>
        <w:numPr>
          <w:ilvl w:val="0"/>
          <w:numId w:val="10"/>
        </w:numPr>
        <w:spacing w:line="259" w:lineRule="auto"/>
        <w:rPr>
          <w:rFonts w:asciiTheme="minorHAnsi" w:eastAsiaTheme="minorHAnsi" w:hAnsiTheme="minorHAnsi" w:cstheme="minorBidi"/>
          <w:sz w:val="22"/>
          <w:szCs w:val="22"/>
          <w:lang w:val="en-CA"/>
        </w:rPr>
      </w:pPr>
      <w:r w:rsidRPr="008E75FC">
        <w:rPr>
          <w:rStyle w:val="Strong"/>
          <w:rFonts w:eastAsiaTheme="minorHAnsi" w:cstheme="minorHAnsi"/>
          <w:lang w:val="en-CA"/>
        </w:rPr>
        <w:t>Targeted PSC audits</w:t>
      </w:r>
      <w:r w:rsidRPr="008E75FC">
        <w:rPr>
          <w:rFonts w:asciiTheme="minorHAnsi" w:eastAsiaTheme="minorHAnsi" w:hAnsiTheme="minorHAnsi" w:cstheme="minorBidi"/>
          <w:sz w:val="20"/>
          <w:szCs w:val="22"/>
          <w:lang w:val="en-CA"/>
        </w:rPr>
        <w:t xml:space="preserve"> </w:t>
      </w:r>
      <w:r w:rsidRPr="008E75FC">
        <w:rPr>
          <w:rFonts w:asciiTheme="minorHAnsi" w:eastAsiaTheme="minorHAnsi" w:hAnsiTheme="minorHAnsi" w:cstheme="minorBidi"/>
          <w:sz w:val="22"/>
          <w:szCs w:val="22"/>
          <w:lang w:val="en-CA"/>
        </w:rPr>
        <w:t>as a result of identified system-wide or organizational risks or at the deputy head request</w:t>
      </w:r>
    </w:p>
    <w:p w14:paraId="51257C9C" w14:textId="77777777" w:rsidR="00B7094B" w:rsidRPr="008E75FC" w:rsidRDefault="00B7094B" w:rsidP="00B7094B">
      <w:pPr>
        <w:keepLines/>
        <w:numPr>
          <w:ilvl w:val="0"/>
          <w:numId w:val="10"/>
        </w:numPr>
        <w:spacing w:after="320" w:line="259" w:lineRule="auto"/>
        <w:rPr>
          <w:rFonts w:asciiTheme="minorHAnsi" w:eastAsiaTheme="minorHAnsi" w:hAnsiTheme="minorHAnsi" w:cstheme="minorHAnsi"/>
          <w:sz w:val="22"/>
          <w:szCs w:val="22"/>
          <w:lang w:val="en-CA"/>
        </w:rPr>
      </w:pPr>
      <w:r w:rsidRPr="008E75FC">
        <w:rPr>
          <w:rStyle w:val="Strong"/>
          <w:rFonts w:eastAsiaTheme="minorHAnsi" w:cstheme="minorHAnsi"/>
          <w:lang w:val="en-CA"/>
        </w:rPr>
        <w:t>Investigations conducted</w:t>
      </w:r>
      <w:r w:rsidRPr="008E75FC">
        <w:rPr>
          <w:rFonts w:asciiTheme="minorHAnsi" w:eastAsiaTheme="minorHAnsi" w:hAnsiTheme="minorHAnsi" w:cstheme="minorBidi"/>
          <w:sz w:val="20"/>
          <w:szCs w:val="22"/>
          <w:lang w:val="en-CA"/>
        </w:rPr>
        <w:t xml:space="preserve"> </w:t>
      </w:r>
      <w:r w:rsidRPr="008E75FC">
        <w:rPr>
          <w:rFonts w:asciiTheme="minorHAnsi" w:eastAsiaTheme="minorHAnsi" w:hAnsiTheme="minorHAnsi" w:cstheme="minorBidi"/>
          <w:sz w:val="22"/>
          <w:szCs w:val="22"/>
          <w:lang w:val="en-CA"/>
        </w:rPr>
        <w:t>when there is a reason to believe there was political influence, fraud or improper conduct in an appointment process</w:t>
      </w:r>
    </w:p>
    <w:p w14:paraId="262A5EDD" w14:textId="77777777" w:rsidR="00B7094B" w:rsidRPr="008E75FC" w:rsidRDefault="00B7094B" w:rsidP="00B7094B">
      <w:pPr>
        <w:keepLines/>
        <w:tabs>
          <w:tab w:val="center" w:pos="4680"/>
          <w:tab w:val="right" w:pos="9360"/>
        </w:tabs>
        <w:ind w:left="360"/>
        <w:rPr>
          <w:rStyle w:val="Strong"/>
          <w:rFonts w:eastAsiaTheme="minorHAnsi" w:cstheme="minorHAnsi"/>
          <w:b w:val="0"/>
          <w:lang w:val="en-CA"/>
        </w:rPr>
      </w:pPr>
      <w:r w:rsidRPr="008E75FC">
        <w:rPr>
          <w:rStyle w:val="Strong"/>
          <w:rFonts w:eastAsiaTheme="minorHAnsi" w:cstheme="minorHAnsi"/>
          <w:b w:val="0"/>
          <w:szCs w:val="22"/>
          <w:lang w:val="en-CA"/>
        </w:rPr>
        <w:t xml:space="preserve">This document should be read in conjunction with the </w:t>
      </w:r>
      <w:r w:rsidRPr="008E75FC">
        <w:rPr>
          <w:rStyle w:val="Emphasis"/>
          <w:rFonts w:asciiTheme="minorHAnsi" w:eastAsiaTheme="minorHAnsi" w:hAnsiTheme="minorHAnsi" w:cstheme="minorHAnsi"/>
          <w:sz w:val="22"/>
          <w:szCs w:val="22"/>
          <w:lang w:val="en-CA"/>
        </w:rPr>
        <w:t>Public Service Employment Act</w:t>
      </w:r>
      <w:r w:rsidRPr="008E75FC">
        <w:rPr>
          <w:rStyle w:val="Strong"/>
          <w:rFonts w:eastAsiaTheme="minorHAnsi" w:cstheme="minorHAnsi"/>
          <w:b w:val="0"/>
          <w:szCs w:val="22"/>
          <w:lang w:val="en-CA"/>
        </w:rPr>
        <w:t xml:space="preserve">, the </w:t>
      </w:r>
      <w:r w:rsidRPr="008E75FC">
        <w:rPr>
          <w:rStyle w:val="Emphasis"/>
          <w:rFonts w:asciiTheme="minorHAnsi" w:eastAsiaTheme="minorHAnsi" w:hAnsiTheme="minorHAnsi" w:cstheme="minorHAnsi"/>
          <w:sz w:val="22"/>
          <w:szCs w:val="22"/>
          <w:lang w:val="en-CA"/>
        </w:rPr>
        <w:t>Public Service Employment Regulations</w:t>
      </w:r>
      <w:r w:rsidRPr="008E75FC">
        <w:rPr>
          <w:rStyle w:val="Strong"/>
          <w:rFonts w:eastAsiaTheme="minorHAnsi" w:cstheme="minorHAnsi"/>
          <w:b w:val="0"/>
          <w:szCs w:val="22"/>
          <w:lang w:val="en-CA"/>
        </w:rPr>
        <w:t>,</w:t>
      </w:r>
      <w:r w:rsidRPr="008E75FC">
        <w:rPr>
          <w:rStyle w:val="Strong"/>
          <w:rFonts w:eastAsiaTheme="minorHAnsi" w:cstheme="minorHAnsi"/>
          <w:b w:val="0"/>
          <w:lang w:val="en-CA"/>
        </w:rPr>
        <w:t xml:space="preserve"> the PSC Appointment Policy and the PSC Appointment Delegation and Accountability Instrument.</w:t>
      </w:r>
    </w:p>
    <w:p w14:paraId="4286173B" w14:textId="77777777" w:rsidR="00B7094B" w:rsidRPr="008E75FC" w:rsidRDefault="00B7094B" w:rsidP="00B7094B">
      <w:pPr>
        <w:pStyle w:val="ListParagraph"/>
        <w:rPr>
          <w:color w:val="54575A" w:themeColor="text1"/>
          <w:sz w:val="12"/>
          <w:szCs w:val="12"/>
          <w:lang w:val="en-CA"/>
        </w:rPr>
        <w:sectPr w:rsidR="00B7094B" w:rsidRPr="008E75FC" w:rsidSect="00775CE4">
          <w:pgSz w:w="12240" w:h="15840"/>
          <w:pgMar w:top="709" w:right="1304" w:bottom="1361" w:left="1304" w:header="709" w:footer="709" w:gutter="0"/>
          <w:cols w:space="708"/>
          <w:docGrid w:linePitch="360"/>
        </w:sectPr>
      </w:pPr>
    </w:p>
    <w:p w14:paraId="67B6C22A" w14:textId="63BDDE60" w:rsidR="007378D3" w:rsidRPr="008E75FC" w:rsidRDefault="007378D3" w:rsidP="00066B48">
      <w:pPr>
        <w:pStyle w:val="Heading3"/>
        <w:jc w:val="right"/>
        <w:rPr>
          <w:rFonts w:asciiTheme="minorHAnsi" w:hAnsiTheme="minorHAnsi" w:cstheme="minorHAnsi"/>
          <w:lang w:val="en-CA"/>
        </w:rPr>
      </w:pPr>
      <w:bookmarkStart w:id="1" w:name="Annexe_B"/>
      <w:r w:rsidRPr="008E75FC">
        <w:rPr>
          <w:rFonts w:asciiTheme="minorHAnsi" w:hAnsiTheme="minorHAnsi" w:cstheme="minorHAnsi"/>
          <w:lang w:val="en-CA"/>
        </w:rPr>
        <w:lastRenderedPageBreak/>
        <w:t xml:space="preserve">Annex </w:t>
      </w:r>
      <w:r w:rsidR="00D71410" w:rsidRPr="008E75FC">
        <w:rPr>
          <w:rFonts w:asciiTheme="minorHAnsi" w:hAnsiTheme="minorHAnsi" w:cstheme="minorHAnsi"/>
          <w:lang w:val="en-CA"/>
        </w:rPr>
        <w:t>B</w:t>
      </w:r>
    </w:p>
    <w:bookmarkEnd w:id="1"/>
    <w:p w14:paraId="7C11BF3F" w14:textId="77777777" w:rsidR="00C2396B" w:rsidRPr="008E75FC" w:rsidRDefault="00C2396B" w:rsidP="00C2396B">
      <w:pPr>
        <w:pStyle w:val="Heading1"/>
        <w:spacing w:before="120" w:after="120"/>
        <w:rPr>
          <w:noProof/>
          <w:sz w:val="40"/>
          <w:lang w:val="en-CA" w:eastAsia="en-CA"/>
        </w:rPr>
      </w:pPr>
      <w:r w:rsidRPr="008E75FC">
        <w:rPr>
          <w:rFonts w:eastAsia="Times New Roman"/>
          <w:noProof/>
          <w:sz w:val="40"/>
          <w:lang w:val="en-CA" w:eastAsia="en-CA"/>
        </w:rPr>
        <w:t>Population by tenure as of March 31, 2020</w:t>
      </w:r>
    </w:p>
    <w:p w14:paraId="0FED788B" w14:textId="77777777" w:rsidR="00C2396B" w:rsidRPr="008E75FC" w:rsidRDefault="00436220" w:rsidP="00C2396B">
      <w:pPr>
        <w:keepNext/>
        <w:tabs>
          <w:tab w:val="left" w:pos="7839"/>
        </w:tabs>
        <w:jc w:val="center"/>
        <w:rPr>
          <w:lang w:val="en-CA"/>
        </w:rPr>
      </w:pPr>
      <w:r w:rsidRPr="008E75FC">
        <w:rPr>
          <w:rFonts w:asciiTheme="minorHAnsi" w:hAnsiTheme="minorHAnsi" w:cstheme="minorHAnsi"/>
          <w:noProof/>
          <w:lang w:val="en-CA" w:eastAsia="en-CA"/>
        </w:rPr>
        <w:drawing>
          <wp:inline distT="0" distB="0" distL="0" distR="0" wp14:anchorId="51CCAB66" wp14:editId="0473171C">
            <wp:extent cx="5648400" cy="3049200"/>
            <wp:effectExtent l="0" t="0" r="9525" b="18415"/>
            <wp:docPr id="13" name="Chart 13" descr="Population by tenure as of March 31, 202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DA8DE6" w14:textId="15AF907C" w:rsidR="00244BB9" w:rsidRPr="008E75FC" w:rsidRDefault="00C2396B" w:rsidP="00C2396B">
      <w:pPr>
        <w:pStyle w:val="Caption"/>
        <w:spacing w:after="0"/>
        <w:jc w:val="center"/>
        <w:rPr>
          <w:rFonts w:asciiTheme="minorHAnsi" w:hAnsiTheme="minorHAnsi" w:cstheme="minorHAnsi"/>
          <w:i w:val="0"/>
          <w:noProof/>
          <w:color w:val="auto"/>
          <w:lang w:val="en-CA" w:eastAsia="en-CA"/>
        </w:rPr>
      </w:pPr>
      <w:r w:rsidRPr="008E75FC">
        <w:rPr>
          <w:rFonts w:asciiTheme="minorHAnsi" w:hAnsiTheme="minorHAnsi" w:cstheme="minorHAnsi"/>
          <w:i w:val="0"/>
          <w:color w:val="auto"/>
          <w:lang w:val="en-CA"/>
        </w:rPr>
        <w:t xml:space="preserve">Figure </w:t>
      </w:r>
      <w:r w:rsidRPr="008E75FC">
        <w:rPr>
          <w:rFonts w:asciiTheme="minorHAnsi" w:hAnsiTheme="minorHAnsi" w:cstheme="minorHAnsi"/>
          <w:i w:val="0"/>
          <w:color w:val="auto"/>
          <w:lang w:val="en-CA"/>
        </w:rPr>
        <w:fldChar w:fldCharType="begin"/>
      </w:r>
      <w:r w:rsidRPr="008E75FC">
        <w:rPr>
          <w:rFonts w:asciiTheme="minorHAnsi" w:hAnsiTheme="minorHAnsi" w:cstheme="minorHAnsi"/>
          <w:i w:val="0"/>
          <w:color w:val="auto"/>
          <w:lang w:val="en-CA"/>
        </w:rPr>
        <w:instrText xml:space="preserve"> SEQ Figure \* ARABIC </w:instrText>
      </w:r>
      <w:r w:rsidRPr="008E75FC">
        <w:rPr>
          <w:rFonts w:asciiTheme="minorHAnsi" w:hAnsiTheme="minorHAnsi" w:cstheme="minorHAnsi"/>
          <w:i w:val="0"/>
          <w:color w:val="auto"/>
          <w:lang w:val="en-CA"/>
        </w:rPr>
        <w:fldChar w:fldCharType="separate"/>
      </w:r>
      <w:r w:rsidR="00C57B8B" w:rsidRPr="008E75FC">
        <w:rPr>
          <w:rFonts w:asciiTheme="minorHAnsi" w:hAnsiTheme="minorHAnsi" w:cstheme="minorHAnsi"/>
          <w:i w:val="0"/>
          <w:noProof/>
          <w:color w:val="auto"/>
          <w:lang w:val="en-CA"/>
        </w:rPr>
        <w:t>1</w:t>
      </w:r>
      <w:r w:rsidRPr="008E75FC">
        <w:rPr>
          <w:rFonts w:asciiTheme="minorHAnsi" w:hAnsiTheme="minorHAnsi" w:cstheme="minorHAnsi"/>
          <w:i w:val="0"/>
          <w:color w:val="auto"/>
          <w:lang w:val="en-CA"/>
        </w:rPr>
        <w:fldChar w:fldCharType="end"/>
      </w:r>
      <w:r w:rsidRPr="008E75FC">
        <w:rPr>
          <w:rFonts w:asciiTheme="minorHAnsi" w:hAnsiTheme="minorHAnsi" w:cstheme="minorHAnsi"/>
          <w:i w:val="0"/>
          <w:color w:val="auto"/>
          <w:lang w:val="en-CA"/>
        </w:rPr>
        <w:t xml:space="preserve"> - Population by tenure as of March 31, 2020</w:t>
      </w:r>
    </w:p>
    <w:p w14:paraId="210FB801" w14:textId="5306C26A" w:rsidR="00C2396B" w:rsidRPr="008E75FC" w:rsidRDefault="00C2396B" w:rsidP="00C2396B">
      <w:pPr>
        <w:pStyle w:val="Caption"/>
        <w:keepNext/>
        <w:spacing w:before="240" w:after="0"/>
        <w:jc w:val="center"/>
        <w:rPr>
          <w:rFonts w:asciiTheme="minorHAnsi" w:hAnsiTheme="minorHAnsi" w:cstheme="minorHAnsi"/>
          <w:i w:val="0"/>
          <w:color w:val="auto"/>
          <w:lang w:val="en-CA"/>
        </w:rPr>
      </w:pPr>
      <w:r w:rsidRPr="008E75FC">
        <w:rPr>
          <w:rFonts w:asciiTheme="minorHAnsi" w:hAnsiTheme="minorHAnsi" w:cstheme="minorHAnsi"/>
          <w:i w:val="0"/>
          <w:color w:val="auto"/>
          <w:lang w:val="en-CA"/>
        </w:rPr>
        <w:t xml:space="preserve">Table </w:t>
      </w:r>
      <w:r w:rsidRPr="008E75FC">
        <w:rPr>
          <w:rFonts w:asciiTheme="minorHAnsi" w:hAnsiTheme="minorHAnsi" w:cstheme="minorHAnsi"/>
          <w:i w:val="0"/>
          <w:color w:val="auto"/>
          <w:lang w:val="en-CA"/>
        </w:rPr>
        <w:fldChar w:fldCharType="begin"/>
      </w:r>
      <w:r w:rsidRPr="008E75FC">
        <w:rPr>
          <w:rFonts w:asciiTheme="minorHAnsi" w:hAnsiTheme="minorHAnsi" w:cstheme="minorHAnsi"/>
          <w:i w:val="0"/>
          <w:color w:val="auto"/>
          <w:lang w:val="en-CA"/>
        </w:rPr>
        <w:instrText xml:space="preserve"> SEQ Table \* ARABIC </w:instrText>
      </w:r>
      <w:r w:rsidRPr="008E75FC">
        <w:rPr>
          <w:rFonts w:asciiTheme="minorHAnsi" w:hAnsiTheme="minorHAnsi" w:cstheme="minorHAnsi"/>
          <w:i w:val="0"/>
          <w:color w:val="auto"/>
          <w:lang w:val="en-CA"/>
        </w:rPr>
        <w:fldChar w:fldCharType="separate"/>
      </w:r>
      <w:r w:rsidR="006632C2" w:rsidRPr="008E75FC">
        <w:rPr>
          <w:rFonts w:asciiTheme="minorHAnsi" w:hAnsiTheme="minorHAnsi" w:cstheme="minorHAnsi"/>
          <w:i w:val="0"/>
          <w:noProof/>
          <w:color w:val="auto"/>
          <w:lang w:val="en-CA"/>
        </w:rPr>
        <w:t>4</w:t>
      </w:r>
      <w:r w:rsidRPr="008E75FC">
        <w:rPr>
          <w:rFonts w:asciiTheme="minorHAnsi" w:hAnsiTheme="minorHAnsi" w:cstheme="minorHAnsi"/>
          <w:i w:val="0"/>
          <w:color w:val="auto"/>
          <w:lang w:val="en-CA"/>
        </w:rPr>
        <w:fldChar w:fldCharType="end"/>
      </w:r>
      <w:r w:rsidRPr="008E75FC">
        <w:rPr>
          <w:rFonts w:asciiTheme="minorHAnsi" w:hAnsiTheme="minorHAnsi" w:cstheme="minorHAnsi"/>
          <w:i w:val="0"/>
          <w:color w:val="auto"/>
          <w:lang w:val="en-CA"/>
        </w:rPr>
        <w:t xml:space="preserve"> - </w:t>
      </w:r>
      <w:r w:rsidRPr="008E75FC">
        <w:rPr>
          <w:rStyle w:val="Emphasis"/>
          <w:rFonts w:asciiTheme="minorHAnsi" w:hAnsiTheme="minorHAnsi" w:cstheme="minorHAnsi"/>
          <w:i/>
          <w:color w:val="auto"/>
          <w:lang w:val="en-CA"/>
        </w:rPr>
        <w:t>Public Service Employment Act</w:t>
      </w:r>
      <w:r w:rsidRPr="008E75FC">
        <w:rPr>
          <w:rFonts w:asciiTheme="minorHAnsi" w:hAnsiTheme="minorHAnsi" w:cstheme="minorHAnsi"/>
          <w:i w:val="0"/>
          <w:color w:val="auto"/>
          <w:lang w:val="en-CA"/>
        </w:rPr>
        <w:t xml:space="preserve"> population by tenure as of March 31</w:t>
      </w:r>
    </w:p>
    <w:tbl>
      <w:tblPr>
        <w:tblStyle w:val="TableGrid"/>
        <w:tblW w:w="5000" w:type="pct"/>
        <w:jc w:val="center"/>
        <w:tblLook w:val="0020" w:firstRow="1" w:lastRow="0" w:firstColumn="0" w:lastColumn="0" w:noHBand="0" w:noVBand="0"/>
        <w:tblDescription w:val="Population by tenure as of March 31 from 2015 to 2020"/>
      </w:tblPr>
      <w:tblGrid>
        <w:gridCol w:w="2263"/>
        <w:gridCol w:w="2836"/>
        <w:gridCol w:w="1983"/>
        <w:gridCol w:w="2127"/>
        <w:gridCol w:w="2268"/>
        <w:gridCol w:w="2913"/>
      </w:tblGrid>
      <w:tr w:rsidR="00C2396B" w:rsidRPr="008E75FC" w14:paraId="1FB160EA" w14:textId="77777777" w:rsidTr="0089643E">
        <w:trPr>
          <w:cantSplit/>
          <w:trHeight w:val="290"/>
          <w:tblHeader/>
          <w:jc w:val="center"/>
        </w:trPr>
        <w:tc>
          <w:tcPr>
            <w:tcW w:w="786" w:type="pct"/>
          </w:tcPr>
          <w:p w14:paraId="392616D0" w14:textId="77777777" w:rsidR="00AB09A7" w:rsidRPr="008E75FC" w:rsidRDefault="00AB09A7" w:rsidP="00C2396B">
            <w:pPr>
              <w:pStyle w:val="TableTitle"/>
              <w:rPr>
                <w:color w:val="auto"/>
                <w:sz w:val="22"/>
                <w:lang w:val="en-CA"/>
              </w:rPr>
            </w:pPr>
            <w:r w:rsidRPr="008E75FC">
              <w:rPr>
                <w:color w:val="auto"/>
                <w:sz w:val="22"/>
                <w:lang w:val="en-CA"/>
              </w:rPr>
              <w:t xml:space="preserve"> Year</w:t>
            </w:r>
          </w:p>
        </w:tc>
        <w:tc>
          <w:tcPr>
            <w:tcW w:w="985" w:type="pct"/>
          </w:tcPr>
          <w:p w14:paraId="66264451" w14:textId="43238584" w:rsidR="00AB09A7" w:rsidRPr="008E75FC" w:rsidRDefault="00AB09A7" w:rsidP="00C2396B">
            <w:pPr>
              <w:pStyle w:val="TableTitle"/>
              <w:rPr>
                <w:color w:val="auto"/>
                <w:sz w:val="22"/>
                <w:lang w:val="en-CA"/>
              </w:rPr>
            </w:pPr>
            <w:r w:rsidRPr="008E75FC">
              <w:rPr>
                <w:color w:val="auto"/>
                <w:sz w:val="22"/>
                <w:lang w:val="en-CA"/>
              </w:rPr>
              <w:t>Indeterminate</w:t>
            </w:r>
            <w:r w:rsidR="00C2396B" w:rsidRPr="008E75FC">
              <w:rPr>
                <w:color w:val="auto"/>
                <w:sz w:val="22"/>
                <w:lang w:val="en-CA"/>
              </w:rPr>
              <w:t xml:space="preserve"> </w:t>
            </w:r>
            <w:r w:rsidRPr="008E75FC">
              <w:rPr>
                <w:color w:val="auto"/>
                <w:sz w:val="22"/>
                <w:lang w:val="en-CA"/>
              </w:rPr>
              <w:t>population</w:t>
            </w:r>
          </w:p>
        </w:tc>
        <w:tc>
          <w:tcPr>
            <w:tcW w:w="689" w:type="pct"/>
          </w:tcPr>
          <w:p w14:paraId="5D259F44" w14:textId="584456A8" w:rsidR="00AB09A7" w:rsidRPr="008E75FC" w:rsidRDefault="00AB09A7" w:rsidP="00C2396B">
            <w:pPr>
              <w:pStyle w:val="TableTitle"/>
              <w:rPr>
                <w:color w:val="auto"/>
                <w:sz w:val="22"/>
                <w:lang w:val="en-CA"/>
              </w:rPr>
            </w:pPr>
            <w:r w:rsidRPr="008E75FC">
              <w:rPr>
                <w:color w:val="auto"/>
                <w:sz w:val="22"/>
                <w:lang w:val="en-CA"/>
              </w:rPr>
              <w:t>Term</w:t>
            </w:r>
            <w:r w:rsidR="00C2396B" w:rsidRPr="008E75FC">
              <w:rPr>
                <w:color w:val="auto"/>
                <w:sz w:val="22"/>
                <w:lang w:val="en-CA"/>
              </w:rPr>
              <w:t xml:space="preserve"> </w:t>
            </w:r>
            <w:r w:rsidRPr="008E75FC">
              <w:rPr>
                <w:color w:val="auto"/>
                <w:sz w:val="22"/>
                <w:lang w:val="en-CA"/>
              </w:rPr>
              <w:t xml:space="preserve">population </w:t>
            </w:r>
          </w:p>
        </w:tc>
        <w:tc>
          <w:tcPr>
            <w:tcW w:w="739" w:type="pct"/>
          </w:tcPr>
          <w:p w14:paraId="68115D5B" w14:textId="1D793D96" w:rsidR="00AB09A7" w:rsidRPr="008E75FC" w:rsidRDefault="00AB09A7" w:rsidP="00C2396B">
            <w:pPr>
              <w:pStyle w:val="TableTitle"/>
              <w:rPr>
                <w:color w:val="auto"/>
                <w:sz w:val="22"/>
                <w:lang w:val="en-CA"/>
              </w:rPr>
            </w:pPr>
            <w:r w:rsidRPr="008E75FC">
              <w:rPr>
                <w:color w:val="auto"/>
                <w:sz w:val="22"/>
                <w:lang w:val="en-CA"/>
              </w:rPr>
              <w:t>Casual</w:t>
            </w:r>
            <w:r w:rsidR="00C2396B" w:rsidRPr="008E75FC">
              <w:rPr>
                <w:color w:val="auto"/>
                <w:sz w:val="22"/>
                <w:lang w:val="en-CA"/>
              </w:rPr>
              <w:t xml:space="preserve"> </w:t>
            </w:r>
            <w:r w:rsidRPr="008E75FC">
              <w:rPr>
                <w:color w:val="auto"/>
                <w:sz w:val="22"/>
                <w:lang w:val="en-CA"/>
              </w:rPr>
              <w:t>population</w:t>
            </w:r>
          </w:p>
        </w:tc>
        <w:tc>
          <w:tcPr>
            <w:tcW w:w="788" w:type="pct"/>
          </w:tcPr>
          <w:p w14:paraId="4F4A3A27" w14:textId="0B9E745F" w:rsidR="00AB09A7" w:rsidRPr="008E75FC" w:rsidRDefault="00AB09A7" w:rsidP="00C2396B">
            <w:pPr>
              <w:pStyle w:val="TableTitle"/>
              <w:rPr>
                <w:color w:val="auto"/>
                <w:sz w:val="22"/>
                <w:lang w:val="en-CA"/>
              </w:rPr>
            </w:pPr>
            <w:r w:rsidRPr="008E75FC">
              <w:rPr>
                <w:color w:val="auto"/>
                <w:sz w:val="22"/>
                <w:lang w:val="en-CA"/>
              </w:rPr>
              <w:t>Student</w:t>
            </w:r>
            <w:r w:rsidR="00C2396B" w:rsidRPr="008E75FC">
              <w:rPr>
                <w:color w:val="auto"/>
                <w:sz w:val="22"/>
                <w:lang w:val="en-CA"/>
              </w:rPr>
              <w:t xml:space="preserve"> </w:t>
            </w:r>
            <w:r w:rsidRPr="008E75FC">
              <w:rPr>
                <w:color w:val="auto"/>
                <w:sz w:val="22"/>
                <w:lang w:val="en-CA"/>
              </w:rPr>
              <w:t>population</w:t>
            </w:r>
          </w:p>
        </w:tc>
        <w:tc>
          <w:tcPr>
            <w:tcW w:w="1012" w:type="pct"/>
          </w:tcPr>
          <w:p w14:paraId="0D62BB20" w14:textId="4D758EBD" w:rsidR="00AB09A7" w:rsidRPr="008E75FC" w:rsidRDefault="00AB09A7" w:rsidP="00C2396B">
            <w:pPr>
              <w:pStyle w:val="TableTitle"/>
              <w:rPr>
                <w:color w:val="auto"/>
                <w:sz w:val="22"/>
                <w:lang w:val="en-CA"/>
              </w:rPr>
            </w:pPr>
            <w:r w:rsidRPr="008E75FC">
              <w:rPr>
                <w:color w:val="auto"/>
                <w:sz w:val="22"/>
                <w:lang w:val="en-CA"/>
              </w:rPr>
              <w:t>Total</w:t>
            </w:r>
            <w:r w:rsidR="00C2396B" w:rsidRPr="008E75FC">
              <w:rPr>
                <w:color w:val="auto"/>
                <w:sz w:val="22"/>
                <w:lang w:val="en-CA"/>
              </w:rPr>
              <w:t xml:space="preserve"> p</w:t>
            </w:r>
            <w:r w:rsidRPr="008E75FC">
              <w:rPr>
                <w:color w:val="auto"/>
                <w:sz w:val="22"/>
                <w:lang w:val="en-CA"/>
              </w:rPr>
              <w:t>opulation</w:t>
            </w:r>
          </w:p>
        </w:tc>
      </w:tr>
      <w:tr w:rsidR="00C2396B" w:rsidRPr="008E75FC" w14:paraId="57523071" w14:textId="77777777" w:rsidTr="0089643E">
        <w:trPr>
          <w:cantSplit/>
          <w:trHeight w:val="290"/>
          <w:tblHeader/>
          <w:jc w:val="center"/>
        </w:trPr>
        <w:tc>
          <w:tcPr>
            <w:tcW w:w="786" w:type="pct"/>
          </w:tcPr>
          <w:p w14:paraId="72DFC3E0" w14:textId="77777777" w:rsidR="00AB09A7" w:rsidRPr="008E75FC" w:rsidRDefault="00AB09A7" w:rsidP="00C2396B">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As of March 31, 2015</w:t>
            </w:r>
          </w:p>
        </w:tc>
        <w:tc>
          <w:tcPr>
            <w:tcW w:w="985" w:type="pct"/>
          </w:tcPr>
          <w:p w14:paraId="0D6A6489"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3 898</w:t>
            </w:r>
          </w:p>
        </w:tc>
        <w:tc>
          <w:tcPr>
            <w:tcW w:w="689" w:type="pct"/>
          </w:tcPr>
          <w:p w14:paraId="459F8E7F"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261</w:t>
            </w:r>
          </w:p>
        </w:tc>
        <w:tc>
          <w:tcPr>
            <w:tcW w:w="739" w:type="pct"/>
          </w:tcPr>
          <w:p w14:paraId="152A76DB"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258</w:t>
            </w:r>
          </w:p>
        </w:tc>
        <w:tc>
          <w:tcPr>
            <w:tcW w:w="788" w:type="pct"/>
          </w:tcPr>
          <w:p w14:paraId="191E656F"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261</w:t>
            </w:r>
          </w:p>
        </w:tc>
        <w:tc>
          <w:tcPr>
            <w:tcW w:w="1012" w:type="pct"/>
          </w:tcPr>
          <w:p w14:paraId="3E261DCE"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4 678</w:t>
            </w:r>
          </w:p>
        </w:tc>
      </w:tr>
      <w:tr w:rsidR="00C2396B" w:rsidRPr="008E75FC" w14:paraId="07F737B1" w14:textId="77777777" w:rsidTr="0089643E">
        <w:trPr>
          <w:cantSplit/>
          <w:trHeight w:val="290"/>
          <w:tblHeader/>
          <w:jc w:val="center"/>
        </w:trPr>
        <w:tc>
          <w:tcPr>
            <w:tcW w:w="786" w:type="pct"/>
          </w:tcPr>
          <w:p w14:paraId="07193945" w14:textId="77777777" w:rsidR="00AB09A7" w:rsidRPr="008E75FC" w:rsidRDefault="00AB09A7" w:rsidP="00C2396B">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As of March 31, 2016</w:t>
            </w:r>
          </w:p>
        </w:tc>
        <w:tc>
          <w:tcPr>
            <w:tcW w:w="985" w:type="pct"/>
          </w:tcPr>
          <w:p w14:paraId="6DB6B3DA"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3 807</w:t>
            </w:r>
          </w:p>
        </w:tc>
        <w:tc>
          <w:tcPr>
            <w:tcW w:w="689" w:type="pct"/>
          </w:tcPr>
          <w:p w14:paraId="151E9D59"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227</w:t>
            </w:r>
          </w:p>
        </w:tc>
        <w:tc>
          <w:tcPr>
            <w:tcW w:w="739" w:type="pct"/>
          </w:tcPr>
          <w:p w14:paraId="52870937"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280</w:t>
            </w:r>
          </w:p>
        </w:tc>
        <w:tc>
          <w:tcPr>
            <w:tcW w:w="788" w:type="pct"/>
          </w:tcPr>
          <w:p w14:paraId="2179716D"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268</w:t>
            </w:r>
          </w:p>
        </w:tc>
        <w:tc>
          <w:tcPr>
            <w:tcW w:w="1012" w:type="pct"/>
          </w:tcPr>
          <w:p w14:paraId="4B013265"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4 582</w:t>
            </w:r>
          </w:p>
        </w:tc>
      </w:tr>
      <w:tr w:rsidR="00C2396B" w:rsidRPr="008E75FC" w14:paraId="771FFDF3" w14:textId="77777777" w:rsidTr="0089643E">
        <w:trPr>
          <w:cantSplit/>
          <w:trHeight w:val="290"/>
          <w:tblHeader/>
          <w:jc w:val="center"/>
        </w:trPr>
        <w:tc>
          <w:tcPr>
            <w:tcW w:w="786" w:type="pct"/>
          </w:tcPr>
          <w:p w14:paraId="32204377" w14:textId="77777777" w:rsidR="00AB09A7" w:rsidRPr="008E75FC" w:rsidRDefault="00AB09A7" w:rsidP="00C2396B">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As of March 31, 2017</w:t>
            </w:r>
          </w:p>
        </w:tc>
        <w:tc>
          <w:tcPr>
            <w:tcW w:w="985" w:type="pct"/>
          </w:tcPr>
          <w:p w14:paraId="1AC8EE9F"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4 005</w:t>
            </w:r>
          </w:p>
        </w:tc>
        <w:tc>
          <w:tcPr>
            <w:tcW w:w="689" w:type="pct"/>
          </w:tcPr>
          <w:p w14:paraId="2976FAB1"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232</w:t>
            </w:r>
          </w:p>
        </w:tc>
        <w:tc>
          <w:tcPr>
            <w:tcW w:w="739" w:type="pct"/>
          </w:tcPr>
          <w:p w14:paraId="547C233A"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280</w:t>
            </w:r>
          </w:p>
        </w:tc>
        <w:tc>
          <w:tcPr>
            <w:tcW w:w="788" w:type="pct"/>
          </w:tcPr>
          <w:p w14:paraId="39605A7D"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269</w:t>
            </w:r>
          </w:p>
        </w:tc>
        <w:tc>
          <w:tcPr>
            <w:tcW w:w="1012" w:type="pct"/>
          </w:tcPr>
          <w:p w14:paraId="407C2EE6"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4 786</w:t>
            </w:r>
          </w:p>
        </w:tc>
      </w:tr>
      <w:tr w:rsidR="00C2396B" w:rsidRPr="008E75FC" w14:paraId="6FA1D761" w14:textId="77777777" w:rsidTr="0089643E">
        <w:trPr>
          <w:cantSplit/>
          <w:trHeight w:val="290"/>
          <w:tblHeader/>
          <w:jc w:val="center"/>
        </w:trPr>
        <w:tc>
          <w:tcPr>
            <w:tcW w:w="786" w:type="pct"/>
          </w:tcPr>
          <w:p w14:paraId="215E4FA9" w14:textId="77777777" w:rsidR="00AB09A7" w:rsidRPr="008E75FC" w:rsidRDefault="00AB09A7" w:rsidP="00C2396B">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As of March 31, 2018</w:t>
            </w:r>
          </w:p>
        </w:tc>
        <w:tc>
          <w:tcPr>
            <w:tcW w:w="985" w:type="pct"/>
          </w:tcPr>
          <w:p w14:paraId="3A22CDF4"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4 165</w:t>
            </w:r>
          </w:p>
        </w:tc>
        <w:tc>
          <w:tcPr>
            <w:tcW w:w="689" w:type="pct"/>
          </w:tcPr>
          <w:p w14:paraId="6443CF06"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280</w:t>
            </w:r>
          </w:p>
        </w:tc>
        <w:tc>
          <w:tcPr>
            <w:tcW w:w="739" w:type="pct"/>
          </w:tcPr>
          <w:p w14:paraId="1869FAAA"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277</w:t>
            </w:r>
          </w:p>
        </w:tc>
        <w:tc>
          <w:tcPr>
            <w:tcW w:w="788" w:type="pct"/>
          </w:tcPr>
          <w:p w14:paraId="34C20B4C"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264</w:t>
            </w:r>
          </w:p>
        </w:tc>
        <w:tc>
          <w:tcPr>
            <w:tcW w:w="1012" w:type="pct"/>
          </w:tcPr>
          <w:p w14:paraId="13383DA6"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4 986</w:t>
            </w:r>
          </w:p>
        </w:tc>
      </w:tr>
      <w:tr w:rsidR="00C2396B" w:rsidRPr="008E75FC" w14:paraId="24DFDA76" w14:textId="77777777" w:rsidTr="0089643E">
        <w:trPr>
          <w:cantSplit/>
          <w:trHeight w:val="290"/>
          <w:tblHeader/>
          <w:jc w:val="center"/>
        </w:trPr>
        <w:tc>
          <w:tcPr>
            <w:tcW w:w="786" w:type="pct"/>
          </w:tcPr>
          <w:p w14:paraId="2ED0886B" w14:textId="77777777" w:rsidR="00AB09A7" w:rsidRPr="008E75FC" w:rsidRDefault="00AB09A7" w:rsidP="00C2396B">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As of March 31, 2019</w:t>
            </w:r>
          </w:p>
        </w:tc>
        <w:tc>
          <w:tcPr>
            <w:tcW w:w="985" w:type="pct"/>
          </w:tcPr>
          <w:p w14:paraId="110E452B"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4 271</w:t>
            </w:r>
          </w:p>
        </w:tc>
        <w:tc>
          <w:tcPr>
            <w:tcW w:w="689" w:type="pct"/>
          </w:tcPr>
          <w:p w14:paraId="6B80435B"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306</w:t>
            </w:r>
          </w:p>
        </w:tc>
        <w:tc>
          <w:tcPr>
            <w:tcW w:w="739" w:type="pct"/>
          </w:tcPr>
          <w:p w14:paraId="32A4F7DD"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298</w:t>
            </w:r>
          </w:p>
        </w:tc>
        <w:tc>
          <w:tcPr>
            <w:tcW w:w="788" w:type="pct"/>
          </w:tcPr>
          <w:p w14:paraId="7DC5B239"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246</w:t>
            </w:r>
          </w:p>
        </w:tc>
        <w:tc>
          <w:tcPr>
            <w:tcW w:w="1012" w:type="pct"/>
          </w:tcPr>
          <w:p w14:paraId="245325DA"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5 121</w:t>
            </w:r>
          </w:p>
        </w:tc>
      </w:tr>
      <w:tr w:rsidR="00C2396B" w:rsidRPr="008E75FC" w14:paraId="7A7CD933" w14:textId="77777777" w:rsidTr="0089643E">
        <w:trPr>
          <w:cantSplit/>
          <w:trHeight w:val="290"/>
          <w:tblHeader/>
          <w:jc w:val="center"/>
        </w:trPr>
        <w:tc>
          <w:tcPr>
            <w:tcW w:w="786" w:type="pct"/>
          </w:tcPr>
          <w:p w14:paraId="3ACCB889" w14:textId="77777777" w:rsidR="00AB09A7" w:rsidRPr="008E75FC" w:rsidRDefault="00AB09A7" w:rsidP="00C2396B">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As of March 31, 2020</w:t>
            </w:r>
          </w:p>
        </w:tc>
        <w:tc>
          <w:tcPr>
            <w:tcW w:w="985" w:type="pct"/>
          </w:tcPr>
          <w:p w14:paraId="5AD0272D"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4 592</w:t>
            </w:r>
          </w:p>
        </w:tc>
        <w:tc>
          <w:tcPr>
            <w:tcW w:w="689" w:type="pct"/>
          </w:tcPr>
          <w:p w14:paraId="7E7BC728"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318</w:t>
            </w:r>
          </w:p>
        </w:tc>
        <w:tc>
          <w:tcPr>
            <w:tcW w:w="739" w:type="pct"/>
          </w:tcPr>
          <w:p w14:paraId="6D943341"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284</w:t>
            </w:r>
          </w:p>
        </w:tc>
        <w:tc>
          <w:tcPr>
            <w:tcW w:w="788" w:type="pct"/>
          </w:tcPr>
          <w:p w14:paraId="697F29D7"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276</w:t>
            </w:r>
          </w:p>
        </w:tc>
        <w:tc>
          <w:tcPr>
            <w:tcW w:w="1012" w:type="pct"/>
          </w:tcPr>
          <w:p w14:paraId="4E75063B"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5 470</w:t>
            </w:r>
          </w:p>
        </w:tc>
      </w:tr>
    </w:tbl>
    <w:p w14:paraId="29338E18" w14:textId="77777777" w:rsidR="00244BB9" w:rsidRPr="008E75FC" w:rsidRDefault="00244BB9" w:rsidP="00436220">
      <w:pPr>
        <w:tabs>
          <w:tab w:val="left" w:pos="7839"/>
        </w:tabs>
        <w:rPr>
          <w:rFonts w:asciiTheme="minorHAnsi" w:hAnsiTheme="minorHAnsi" w:cstheme="minorHAnsi"/>
          <w:noProof/>
          <w:lang w:val="en-CA" w:eastAsia="en-CA"/>
        </w:rPr>
      </w:pPr>
    </w:p>
    <w:p w14:paraId="0B5A5F27" w14:textId="77777777" w:rsidR="00244BB9" w:rsidRPr="008E75FC" w:rsidRDefault="00244BB9" w:rsidP="00436220">
      <w:pPr>
        <w:tabs>
          <w:tab w:val="left" w:pos="7839"/>
        </w:tabs>
        <w:rPr>
          <w:rFonts w:asciiTheme="minorHAnsi" w:hAnsiTheme="minorHAnsi" w:cstheme="minorHAnsi"/>
          <w:noProof/>
          <w:lang w:val="en-CA" w:eastAsia="en-CA"/>
        </w:rPr>
        <w:sectPr w:rsidR="00244BB9" w:rsidRPr="008E75FC" w:rsidSect="002549B0">
          <w:headerReference w:type="default" r:id="rId14"/>
          <w:footerReference w:type="even" r:id="rId15"/>
          <w:headerReference w:type="first" r:id="rId16"/>
          <w:footerReference w:type="first" r:id="rId17"/>
          <w:pgSz w:w="15840" w:h="12240" w:orient="landscape"/>
          <w:pgMar w:top="1025" w:right="720" w:bottom="720" w:left="720" w:header="708" w:footer="708" w:gutter="0"/>
          <w:cols w:space="708"/>
          <w:titlePg/>
          <w:docGrid w:linePitch="360"/>
        </w:sectPr>
      </w:pPr>
    </w:p>
    <w:p w14:paraId="7624781A" w14:textId="7FE6C9DD" w:rsidR="00244BB9" w:rsidRPr="008E75FC" w:rsidRDefault="00C2396B" w:rsidP="00C2396B">
      <w:pPr>
        <w:pStyle w:val="Heading1"/>
        <w:spacing w:before="120" w:after="120"/>
        <w:rPr>
          <w:noProof/>
          <w:sz w:val="40"/>
          <w:lang w:val="en-CA" w:eastAsia="en-CA"/>
        </w:rPr>
      </w:pPr>
      <w:r w:rsidRPr="008E75FC">
        <w:rPr>
          <w:noProof/>
          <w:sz w:val="40"/>
          <w:lang w:val="en-CA" w:eastAsia="en-CA"/>
        </w:rPr>
        <w:lastRenderedPageBreak/>
        <w:t>Population by language requirements as of March 31, 2020</w:t>
      </w:r>
    </w:p>
    <w:p w14:paraId="1741BE28" w14:textId="77777777" w:rsidR="00C2396B" w:rsidRPr="008E75FC" w:rsidRDefault="00244BB9" w:rsidP="00C2396B">
      <w:pPr>
        <w:keepNext/>
        <w:tabs>
          <w:tab w:val="left" w:pos="7839"/>
        </w:tabs>
        <w:jc w:val="center"/>
        <w:rPr>
          <w:lang w:val="en-CA"/>
        </w:rPr>
      </w:pPr>
      <w:r w:rsidRPr="008E75FC">
        <w:rPr>
          <w:rFonts w:asciiTheme="minorHAnsi" w:hAnsiTheme="minorHAnsi" w:cstheme="minorHAnsi"/>
          <w:noProof/>
          <w:lang w:val="en-CA" w:eastAsia="en-CA"/>
        </w:rPr>
        <w:drawing>
          <wp:inline distT="0" distB="0" distL="0" distR="0" wp14:anchorId="325639A1" wp14:editId="7D7890BB">
            <wp:extent cx="1980000" cy="3020400"/>
            <wp:effectExtent l="0" t="0" r="1270" b="8890"/>
            <wp:docPr id="8" name="Chart 8" descr="Population by language requirements as of March 31, 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020696A" w14:textId="5EB9D7A3" w:rsidR="00244BB9" w:rsidRPr="008E75FC" w:rsidRDefault="00C2396B" w:rsidP="00C2396B">
      <w:pPr>
        <w:pStyle w:val="Caption"/>
        <w:spacing w:after="0"/>
        <w:jc w:val="center"/>
        <w:rPr>
          <w:rFonts w:asciiTheme="minorHAnsi" w:hAnsiTheme="minorHAnsi" w:cstheme="minorHAnsi"/>
          <w:i w:val="0"/>
          <w:noProof/>
          <w:color w:val="auto"/>
          <w:lang w:val="en-CA" w:eastAsia="en-CA"/>
        </w:rPr>
      </w:pPr>
      <w:r w:rsidRPr="008E75FC">
        <w:rPr>
          <w:rFonts w:asciiTheme="minorHAnsi" w:hAnsiTheme="minorHAnsi" w:cstheme="minorHAnsi"/>
          <w:i w:val="0"/>
          <w:color w:val="auto"/>
          <w:lang w:val="en-CA"/>
        </w:rPr>
        <w:t xml:space="preserve">Figure </w:t>
      </w:r>
      <w:r w:rsidRPr="008E75FC">
        <w:rPr>
          <w:rFonts w:asciiTheme="minorHAnsi" w:hAnsiTheme="minorHAnsi" w:cstheme="minorHAnsi"/>
          <w:i w:val="0"/>
          <w:color w:val="auto"/>
          <w:lang w:val="en-CA"/>
        </w:rPr>
        <w:fldChar w:fldCharType="begin"/>
      </w:r>
      <w:r w:rsidRPr="008E75FC">
        <w:rPr>
          <w:rFonts w:asciiTheme="minorHAnsi" w:hAnsiTheme="minorHAnsi" w:cstheme="minorHAnsi"/>
          <w:i w:val="0"/>
          <w:color w:val="auto"/>
          <w:lang w:val="en-CA"/>
        </w:rPr>
        <w:instrText xml:space="preserve"> SEQ Figure \* ARABIC </w:instrText>
      </w:r>
      <w:r w:rsidRPr="008E75FC">
        <w:rPr>
          <w:rFonts w:asciiTheme="minorHAnsi" w:hAnsiTheme="minorHAnsi" w:cstheme="minorHAnsi"/>
          <w:i w:val="0"/>
          <w:color w:val="auto"/>
          <w:lang w:val="en-CA"/>
        </w:rPr>
        <w:fldChar w:fldCharType="separate"/>
      </w:r>
      <w:r w:rsidR="00C57B8B" w:rsidRPr="008E75FC">
        <w:rPr>
          <w:rFonts w:asciiTheme="minorHAnsi" w:hAnsiTheme="minorHAnsi" w:cstheme="minorHAnsi"/>
          <w:i w:val="0"/>
          <w:noProof/>
          <w:color w:val="auto"/>
          <w:lang w:val="en-CA"/>
        </w:rPr>
        <w:t>2</w:t>
      </w:r>
      <w:r w:rsidRPr="008E75FC">
        <w:rPr>
          <w:rFonts w:asciiTheme="minorHAnsi" w:hAnsiTheme="minorHAnsi" w:cstheme="minorHAnsi"/>
          <w:i w:val="0"/>
          <w:color w:val="auto"/>
          <w:lang w:val="en-CA"/>
        </w:rPr>
        <w:fldChar w:fldCharType="end"/>
      </w:r>
      <w:r w:rsidRPr="008E75FC">
        <w:rPr>
          <w:rFonts w:asciiTheme="minorHAnsi" w:hAnsiTheme="minorHAnsi" w:cstheme="minorHAnsi"/>
          <w:i w:val="0"/>
          <w:color w:val="auto"/>
          <w:lang w:val="en-CA"/>
        </w:rPr>
        <w:t xml:space="preserve"> - Population by language requirements as of March 31, 2020</w:t>
      </w:r>
    </w:p>
    <w:p w14:paraId="7F1006CB" w14:textId="4046CB77" w:rsidR="00C2396B" w:rsidRPr="008E75FC" w:rsidRDefault="00C2396B" w:rsidP="00C2396B">
      <w:pPr>
        <w:pStyle w:val="Caption"/>
        <w:keepNext/>
        <w:spacing w:before="240" w:after="0"/>
        <w:jc w:val="center"/>
        <w:rPr>
          <w:rFonts w:asciiTheme="minorHAnsi" w:hAnsiTheme="minorHAnsi" w:cstheme="minorHAnsi"/>
          <w:i w:val="0"/>
          <w:color w:val="auto"/>
          <w:lang w:val="en-CA"/>
        </w:rPr>
      </w:pPr>
      <w:r w:rsidRPr="008E75FC">
        <w:rPr>
          <w:rFonts w:asciiTheme="minorHAnsi" w:hAnsiTheme="minorHAnsi" w:cstheme="minorHAnsi"/>
          <w:i w:val="0"/>
          <w:color w:val="auto"/>
          <w:lang w:val="en-CA"/>
        </w:rPr>
        <w:t xml:space="preserve">Table </w:t>
      </w:r>
      <w:r w:rsidRPr="008E75FC">
        <w:rPr>
          <w:rFonts w:asciiTheme="minorHAnsi" w:hAnsiTheme="minorHAnsi" w:cstheme="minorHAnsi"/>
          <w:i w:val="0"/>
          <w:color w:val="auto"/>
          <w:lang w:val="en-CA"/>
        </w:rPr>
        <w:fldChar w:fldCharType="begin"/>
      </w:r>
      <w:r w:rsidRPr="008E75FC">
        <w:rPr>
          <w:rFonts w:asciiTheme="minorHAnsi" w:hAnsiTheme="minorHAnsi" w:cstheme="minorHAnsi"/>
          <w:i w:val="0"/>
          <w:color w:val="auto"/>
          <w:lang w:val="en-CA"/>
        </w:rPr>
        <w:instrText xml:space="preserve"> SEQ Table \* ARABIC </w:instrText>
      </w:r>
      <w:r w:rsidRPr="008E75FC">
        <w:rPr>
          <w:rFonts w:asciiTheme="minorHAnsi" w:hAnsiTheme="minorHAnsi" w:cstheme="minorHAnsi"/>
          <w:i w:val="0"/>
          <w:color w:val="auto"/>
          <w:lang w:val="en-CA"/>
        </w:rPr>
        <w:fldChar w:fldCharType="separate"/>
      </w:r>
      <w:r w:rsidR="006632C2" w:rsidRPr="008E75FC">
        <w:rPr>
          <w:rFonts w:asciiTheme="minorHAnsi" w:hAnsiTheme="minorHAnsi" w:cstheme="minorHAnsi"/>
          <w:i w:val="0"/>
          <w:noProof/>
          <w:color w:val="auto"/>
          <w:lang w:val="en-CA"/>
        </w:rPr>
        <w:t>5</w:t>
      </w:r>
      <w:r w:rsidRPr="008E75FC">
        <w:rPr>
          <w:rFonts w:asciiTheme="minorHAnsi" w:hAnsiTheme="minorHAnsi" w:cstheme="minorHAnsi"/>
          <w:i w:val="0"/>
          <w:color w:val="auto"/>
          <w:lang w:val="en-CA"/>
        </w:rPr>
        <w:fldChar w:fldCharType="end"/>
      </w:r>
      <w:r w:rsidRPr="008E75FC">
        <w:rPr>
          <w:rFonts w:asciiTheme="minorHAnsi" w:hAnsiTheme="minorHAnsi" w:cstheme="minorHAnsi"/>
          <w:i w:val="0"/>
          <w:color w:val="auto"/>
          <w:lang w:val="en-CA"/>
        </w:rPr>
        <w:t xml:space="preserve"> - </w:t>
      </w:r>
      <w:r w:rsidRPr="008E75FC">
        <w:rPr>
          <w:rStyle w:val="Emphasis"/>
          <w:rFonts w:asciiTheme="minorHAnsi" w:hAnsiTheme="minorHAnsi" w:cstheme="minorHAnsi"/>
          <w:i/>
          <w:color w:val="auto"/>
          <w:lang w:val="en-CA"/>
        </w:rPr>
        <w:t>Public Service Employment Act</w:t>
      </w:r>
      <w:r w:rsidRPr="008E75FC">
        <w:rPr>
          <w:rFonts w:asciiTheme="minorHAnsi" w:hAnsiTheme="minorHAnsi" w:cstheme="minorHAnsi"/>
          <w:i w:val="0"/>
          <w:color w:val="auto"/>
          <w:lang w:val="en-CA"/>
        </w:rPr>
        <w:t xml:space="preserve"> population by language requirements of the position for fiscal year 2019 to 2020</w:t>
      </w:r>
    </w:p>
    <w:tbl>
      <w:tblPr>
        <w:tblStyle w:val="TableGrid"/>
        <w:tblW w:w="5000" w:type="pct"/>
        <w:jc w:val="center"/>
        <w:tblLook w:val="0020" w:firstRow="1" w:lastRow="0" w:firstColumn="0" w:lastColumn="0" w:noHBand="0" w:noVBand="0"/>
        <w:tblDescription w:val="Population by language requirements as of March 31, 2020"/>
      </w:tblPr>
      <w:tblGrid>
        <w:gridCol w:w="4754"/>
        <w:gridCol w:w="3972"/>
        <w:gridCol w:w="5664"/>
      </w:tblGrid>
      <w:tr w:rsidR="00C2396B" w:rsidRPr="008E75FC" w14:paraId="57B8BDAA" w14:textId="77777777" w:rsidTr="0089643E">
        <w:trPr>
          <w:cantSplit/>
          <w:trHeight w:val="290"/>
          <w:tblHeader/>
          <w:jc w:val="center"/>
        </w:trPr>
        <w:tc>
          <w:tcPr>
            <w:tcW w:w="1652" w:type="pct"/>
          </w:tcPr>
          <w:p w14:paraId="18D4B0D9" w14:textId="77777777" w:rsidR="00AB09A7" w:rsidRPr="008E75FC" w:rsidRDefault="00AB09A7" w:rsidP="00C2396B">
            <w:pPr>
              <w:pStyle w:val="TableTitle"/>
              <w:rPr>
                <w:color w:val="auto"/>
                <w:sz w:val="22"/>
                <w:lang w:val="en-CA"/>
              </w:rPr>
            </w:pPr>
            <w:r w:rsidRPr="008E75FC">
              <w:rPr>
                <w:color w:val="auto"/>
                <w:sz w:val="22"/>
                <w:lang w:val="en-CA"/>
              </w:rPr>
              <w:t>Linguistic requirements of the position</w:t>
            </w:r>
          </w:p>
        </w:tc>
        <w:tc>
          <w:tcPr>
            <w:tcW w:w="1380" w:type="pct"/>
          </w:tcPr>
          <w:p w14:paraId="329143E2" w14:textId="77777777" w:rsidR="00AB09A7" w:rsidRPr="008E75FC" w:rsidRDefault="00AB09A7" w:rsidP="00C2396B">
            <w:pPr>
              <w:pStyle w:val="TableTitle"/>
              <w:rPr>
                <w:color w:val="auto"/>
                <w:sz w:val="22"/>
                <w:lang w:val="en-CA"/>
              </w:rPr>
            </w:pPr>
            <w:r w:rsidRPr="008E75FC">
              <w:rPr>
                <w:color w:val="auto"/>
                <w:sz w:val="22"/>
                <w:lang w:val="en-CA"/>
              </w:rPr>
              <w:t>Population as of March 31, 2020</w:t>
            </w:r>
          </w:p>
        </w:tc>
        <w:tc>
          <w:tcPr>
            <w:tcW w:w="1968" w:type="pct"/>
          </w:tcPr>
          <w:p w14:paraId="09E600C8" w14:textId="77777777" w:rsidR="00AB09A7" w:rsidRPr="008E75FC" w:rsidRDefault="00AB09A7" w:rsidP="00C2396B">
            <w:pPr>
              <w:pStyle w:val="TableTitle"/>
              <w:rPr>
                <w:color w:val="auto"/>
                <w:sz w:val="22"/>
                <w:lang w:val="en-CA"/>
              </w:rPr>
            </w:pPr>
            <w:r w:rsidRPr="008E75FC">
              <w:rPr>
                <w:color w:val="auto"/>
                <w:sz w:val="22"/>
                <w:lang w:val="en-CA"/>
              </w:rPr>
              <w:t>Percentage of population as of March 31, 2020</w:t>
            </w:r>
          </w:p>
        </w:tc>
      </w:tr>
      <w:tr w:rsidR="00C2396B" w:rsidRPr="008E75FC" w14:paraId="5F9F60F3" w14:textId="77777777" w:rsidTr="0089643E">
        <w:trPr>
          <w:cantSplit/>
          <w:trHeight w:val="290"/>
          <w:tblHeader/>
          <w:jc w:val="center"/>
        </w:trPr>
        <w:tc>
          <w:tcPr>
            <w:tcW w:w="1652" w:type="pct"/>
          </w:tcPr>
          <w:p w14:paraId="655107C2"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 xml:space="preserve">Bilingual </w:t>
            </w:r>
          </w:p>
        </w:tc>
        <w:tc>
          <w:tcPr>
            <w:tcW w:w="1380" w:type="pct"/>
          </w:tcPr>
          <w:p w14:paraId="70A397FB"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1 708</w:t>
            </w:r>
          </w:p>
        </w:tc>
        <w:tc>
          <w:tcPr>
            <w:tcW w:w="1968" w:type="pct"/>
            <w:shd w:val="clear" w:color="auto" w:fill="auto"/>
          </w:tcPr>
          <w:p w14:paraId="4F0A77B6"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38%</w:t>
            </w:r>
          </w:p>
        </w:tc>
      </w:tr>
      <w:tr w:rsidR="00C2396B" w:rsidRPr="008E75FC" w14:paraId="32697FA0" w14:textId="77777777" w:rsidTr="0089643E">
        <w:trPr>
          <w:cantSplit/>
          <w:trHeight w:val="290"/>
          <w:tblHeader/>
          <w:jc w:val="center"/>
        </w:trPr>
        <w:tc>
          <w:tcPr>
            <w:tcW w:w="1652" w:type="pct"/>
          </w:tcPr>
          <w:p w14:paraId="00573055"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Unilingual</w:t>
            </w:r>
          </w:p>
        </w:tc>
        <w:tc>
          <w:tcPr>
            <w:tcW w:w="1380" w:type="pct"/>
          </w:tcPr>
          <w:p w14:paraId="2BE5EF7E"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2 835</w:t>
            </w:r>
          </w:p>
        </w:tc>
        <w:tc>
          <w:tcPr>
            <w:tcW w:w="1968" w:type="pct"/>
            <w:shd w:val="clear" w:color="auto" w:fill="auto"/>
          </w:tcPr>
          <w:p w14:paraId="2F217A9C"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62%</w:t>
            </w:r>
          </w:p>
        </w:tc>
      </w:tr>
      <w:tr w:rsidR="00C2396B" w:rsidRPr="008E75FC" w14:paraId="65D8072E" w14:textId="77777777" w:rsidTr="0089643E">
        <w:trPr>
          <w:cantSplit/>
          <w:trHeight w:val="290"/>
          <w:tblHeader/>
          <w:jc w:val="center"/>
        </w:trPr>
        <w:tc>
          <w:tcPr>
            <w:tcW w:w="1652" w:type="pct"/>
          </w:tcPr>
          <w:p w14:paraId="1451E582"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Unknown</w:t>
            </w:r>
          </w:p>
        </w:tc>
        <w:tc>
          <w:tcPr>
            <w:tcW w:w="1380" w:type="pct"/>
          </w:tcPr>
          <w:p w14:paraId="24DE718A"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927</w:t>
            </w:r>
          </w:p>
        </w:tc>
        <w:tc>
          <w:tcPr>
            <w:tcW w:w="1968" w:type="pct"/>
            <w:shd w:val="clear" w:color="auto" w:fill="auto"/>
          </w:tcPr>
          <w:p w14:paraId="04B66F49" w14:textId="769D482A" w:rsidR="00AB09A7" w:rsidRPr="008E75FC" w:rsidRDefault="00C2396B"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0%</w:t>
            </w:r>
          </w:p>
        </w:tc>
      </w:tr>
    </w:tbl>
    <w:p w14:paraId="4F4F4A18" w14:textId="77777777" w:rsidR="00244BB9" w:rsidRPr="008E75FC" w:rsidRDefault="00244BB9" w:rsidP="00436220">
      <w:pPr>
        <w:tabs>
          <w:tab w:val="left" w:pos="7839"/>
        </w:tabs>
        <w:rPr>
          <w:rFonts w:asciiTheme="minorHAnsi" w:hAnsiTheme="minorHAnsi" w:cstheme="minorHAnsi"/>
          <w:noProof/>
          <w:lang w:val="en-CA" w:eastAsia="en-CA"/>
        </w:rPr>
      </w:pPr>
    </w:p>
    <w:p w14:paraId="0ECBA0C6" w14:textId="77777777" w:rsidR="00AB09A7" w:rsidRPr="008E75FC" w:rsidRDefault="00AB09A7" w:rsidP="00436220">
      <w:pPr>
        <w:tabs>
          <w:tab w:val="left" w:pos="7839"/>
        </w:tabs>
        <w:rPr>
          <w:rFonts w:asciiTheme="minorHAnsi" w:hAnsiTheme="minorHAnsi" w:cstheme="minorHAnsi"/>
          <w:noProof/>
          <w:lang w:val="en-CA" w:eastAsia="en-CA"/>
        </w:rPr>
        <w:sectPr w:rsidR="00AB09A7" w:rsidRPr="008E75FC" w:rsidSect="002549B0">
          <w:pgSz w:w="15840" w:h="12240" w:orient="landscape"/>
          <w:pgMar w:top="1025" w:right="720" w:bottom="720" w:left="720" w:header="708" w:footer="708" w:gutter="0"/>
          <w:cols w:space="708"/>
          <w:titlePg/>
          <w:docGrid w:linePitch="360"/>
        </w:sectPr>
      </w:pPr>
    </w:p>
    <w:p w14:paraId="28C974EA" w14:textId="77777777" w:rsidR="00832F05" w:rsidRPr="008E75FC" w:rsidRDefault="00832F05" w:rsidP="00832F05">
      <w:pPr>
        <w:pStyle w:val="Heading1"/>
        <w:spacing w:before="120" w:after="120"/>
        <w:rPr>
          <w:noProof/>
          <w:sz w:val="40"/>
          <w:lang w:val="en-CA" w:eastAsia="en-CA"/>
        </w:rPr>
      </w:pPr>
      <w:r w:rsidRPr="008E75FC">
        <w:rPr>
          <w:rFonts w:eastAsia="Times New Roman"/>
          <w:noProof/>
          <w:sz w:val="40"/>
          <w:lang w:val="en-CA" w:eastAsia="en-CA"/>
        </w:rPr>
        <w:lastRenderedPageBreak/>
        <w:t>Population by occupational group as of March 31, 2020</w:t>
      </w:r>
    </w:p>
    <w:p w14:paraId="641CA6A2" w14:textId="77777777" w:rsidR="00832F05" w:rsidRPr="008E75FC" w:rsidRDefault="00244BB9" w:rsidP="00832F05">
      <w:pPr>
        <w:keepNext/>
        <w:tabs>
          <w:tab w:val="left" w:pos="7839"/>
        </w:tabs>
        <w:jc w:val="center"/>
        <w:rPr>
          <w:lang w:val="en-CA"/>
        </w:rPr>
      </w:pPr>
      <w:r w:rsidRPr="008E75FC">
        <w:rPr>
          <w:rFonts w:asciiTheme="minorHAnsi" w:hAnsiTheme="minorHAnsi" w:cstheme="minorHAnsi"/>
          <w:noProof/>
          <w:lang w:val="en-CA" w:eastAsia="en-CA"/>
        </w:rPr>
        <w:drawing>
          <wp:inline distT="0" distB="0" distL="0" distR="0" wp14:anchorId="33657BC0" wp14:editId="0F491D44">
            <wp:extent cx="1980000" cy="3020400"/>
            <wp:effectExtent l="0" t="0" r="1270" b="8890"/>
            <wp:docPr id="5" name="Chart 5" descr="Population by occupational group as of March 31, 202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678FDF9" w14:textId="1F81B289" w:rsidR="00244BB9" w:rsidRPr="008E75FC" w:rsidRDefault="00832F05" w:rsidP="00832F05">
      <w:pPr>
        <w:pStyle w:val="Caption"/>
        <w:spacing w:after="0"/>
        <w:jc w:val="center"/>
        <w:rPr>
          <w:rFonts w:asciiTheme="minorHAnsi" w:hAnsiTheme="minorHAnsi" w:cstheme="minorHAnsi"/>
          <w:i w:val="0"/>
          <w:noProof/>
          <w:color w:val="auto"/>
          <w:lang w:val="en-CA" w:eastAsia="en-CA"/>
        </w:rPr>
      </w:pPr>
      <w:r w:rsidRPr="008E75FC">
        <w:rPr>
          <w:rFonts w:asciiTheme="minorHAnsi" w:hAnsiTheme="minorHAnsi" w:cstheme="minorHAnsi"/>
          <w:i w:val="0"/>
          <w:color w:val="auto"/>
          <w:lang w:val="en-CA"/>
        </w:rPr>
        <w:t xml:space="preserve">Figure </w:t>
      </w:r>
      <w:r w:rsidRPr="008E75FC">
        <w:rPr>
          <w:rFonts w:asciiTheme="minorHAnsi" w:hAnsiTheme="minorHAnsi" w:cstheme="minorHAnsi"/>
          <w:i w:val="0"/>
          <w:color w:val="auto"/>
          <w:lang w:val="en-CA"/>
        </w:rPr>
        <w:fldChar w:fldCharType="begin"/>
      </w:r>
      <w:r w:rsidRPr="008E75FC">
        <w:rPr>
          <w:rFonts w:asciiTheme="minorHAnsi" w:hAnsiTheme="minorHAnsi" w:cstheme="minorHAnsi"/>
          <w:i w:val="0"/>
          <w:color w:val="auto"/>
          <w:lang w:val="en-CA"/>
        </w:rPr>
        <w:instrText xml:space="preserve"> SEQ Figure \* ARABIC </w:instrText>
      </w:r>
      <w:r w:rsidRPr="008E75FC">
        <w:rPr>
          <w:rFonts w:asciiTheme="minorHAnsi" w:hAnsiTheme="minorHAnsi" w:cstheme="minorHAnsi"/>
          <w:i w:val="0"/>
          <w:color w:val="auto"/>
          <w:lang w:val="en-CA"/>
        </w:rPr>
        <w:fldChar w:fldCharType="separate"/>
      </w:r>
      <w:r w:rsidR="00C57B8B" w:rsidRPr="008E75FC">
        <w:rPr>
          <w:rFonts w:asciiTheme="minorHAnsi" w:hAnsiTheme="minorHAnsi" w:cstheme="minorHAnsi"/>
          <w:i w:val="0"/>
          <w:noProof/>
          <w:color w:val="auto"/>
          <w:lang w:val="en-CA"/>
        </w:rPr>
        <w:t>3</w:t>
      </w:r>
      <w:r w:rsidRPr="008E75FC">
        <w:rPr>
          <w:rFonts w:asciiTheme="minorHAnsi" w:hAnsiTheme="minorHAnsi" w:cstheme="minorHAnsi"/>
          <w:i w:val="0"/>
          <w:color w:val="auto"/>
          <w:lang w:val="en-CA"/>
        </w:rPr>
        <w:fldChar w:fldCharType="end"/>
      </w:r>
      <w:r w:rsidRPr="008E75FC">
        <w:rPr>
          <w:rFonts w:asciiTheme="minorHAnsi" w:hAnsiTheme="minorHAnsi" w:cstheme="minorHAnsi"/>
          <w:i w:val="0"/>
          <w:color w:val="auto"/>
          <w:lang w:val="en-CA"/>
        </w:rPr>
        <w:t xml:space="preserve"> - Population by occupational group as of March 31, 2020</w:t>
      </w:r>
    </w:p>
    <w:p w14:paraId="4A529F10" w14:textId="5D19DB0B" w:rsidR="00832F05" w:rsidRPr="008E75FC" w:rsidRDefault="00832F05" w:rsidP="000E2F8F">
      <w:pPr>
        <w:pStyle w:val="Caption"/>
        <w:keepNext/>
        <w:spacing w:before="240" w:after="0"/>
        <w:jc w:val="center"/>
        <w:rPr>
          <w:rFonts w:asciiTheme="minorHAnsi" w:hAnsiTheme="minorHAnsi" w:cstheme="minorHAnsi"/>
          <w:i w:val="0"/>
          <w:color w:val="auto"/>
          <w:lang w:val="en-CA"/>
        </w:rPr>
      </w:pPr>
      <w:r w:rsidRPr="008E75FC">
        <w:rPr>
          <w:rFonts w:asciiTheme="minorHAnsi" w:hAnsiTheme="minorHAnsi" w:cstheme="minorHAnsi"/>
          <w:i w:val="0"/>
          <w:color w:val="auto"/>
          <w:lang w:val="en-CA"/>
        </w:rPr>
        <w:t xml:space="preserve">Table </w:t>
      </w:r>
      <w:r w:rsidRPr="008E75FC">
        <w:rPr>
          <w:rFonts w:asciiTheme="minorHAnsi" w:hAnsiTheme="minorHAnsi" w:cstheme="minorHAnsi"/>
          <w:i w:val="0"/>
          <w:color w:val="auto"/>
          <w:lang w:val="en-CA"/>
        </w:rPr>
        <w:fldChar w:fldCharType="begin"/>
      </w:r>
      <w:r w:rsidRPr="008E75FC">
        <w:rPr>
          <w:rFonts w:asciiTheme="minorHAnsi" w:hAnsiTheme="minorHAnsi" w:cstheme="minorHAnsi"/>
          <w:i w:val="0"/>
          <w:color w:val="auto"/>
          <w:lang w:val="en-CA"/>
        </w:rPr>
        <w:instrText xml:space="preserve"> SEQ Table \* ARABIC </w:instrText>
      </w:r>
      <w:r w:rsidRPr="008E75FC">
        <w:rPr>
          <w:rFonts w:asciiTheme="minorHAnsi" w:hAnsiTheme="minorHAnsi" w:cstheme="minorHAnsi"/>
          <w:i w:val="0"/>
          <w:color w:val="auto"/>
          <w:lang w:val="en-CA"/>
        </w:rPr>
        <w:fldChar w:fldCharType="separate"/>
      </w:r>
      <w:r w:rsidR="006632C2" w:rsidRPr="008E75FC">
        <w:rPr>
          <w:rFonts w:asciiTheme="minorHAnsi" w:hAnsiTheme="minorHAnsi" w:cstheme="minorHAnsi"/>
          <w:i w:val="0"/>
          <w:noProof/>
          <w:color w:val="auto"/>
          <w:lang w:val="en-CA"/>
        </w:rPr>
        <w:t>6</w:t>
      </w:r>
      <w:r w:rsidRPr="008E75FC">
        <w:rPr>
          <w:rFonts w:asciiTheme="minorHAnsi" w:hAnsiTheme="minorHAnsi" w:cstheme="minorHAnsi"/>
          <w:i w:val="0"/>
          <w:color w:val="auto"/>
          <w:lang w:val="en-CA"/>
        </w:rPr>
        <w:fldChar w:fldCharType="end"/>
      </w:r>
      <w:r w:rsidRPr="008E75FC">
        <w:rPr>
          <w:rFonts w:asciiTheme="minorHAnsi" w:hAnsiTheme="minorHAnsi" w:cstheme="minorHAnsi"/>
          <w:i w:val="0"/>
          <w:color w:val="auto"/>
          <w:lang w:val="en-CA"/>
        </w:rPr>
        <w:t xml:space="preserve"> - Top occupational groups, as a percentage of the </w:t>
      </w:r>
      <w:r w:rsidRPr="008E75FC">
        <w:rPr>
          <w:rStyle w:val="Emphasis"/>
          <w:rFonts w:asciiTheme="minorHAnsi" w:hAnsiTheme="minorHAnsi" w:cstheme="minorHAnsi"/>
          <w:i/>
          <w:color w:val="auto"/>
          <w:lang w:val="en-CA"/>
        </w:rPr>
        <w:t>Public Service Employment Act</w:t>
      </w:r>
      <w:r w:rsidRPr="008E75FC">
        <w:rPr>
          <w:rFonts w:asciiTheme="minorHAnsi" w:hAnsiTheme="minorHAnsi" w:cstheme="minorHAnsi"/>
          <w:i w:val="0"/>
          <w:color w:val="auto"/>
          <w:lang w:val="en-CA"/>
        </w:rPr>
        <w:t xml:space="preserve"> population for fiscal year 2019 to 2020</w:t>
      </w:r>
    </w:p>
    <w:tbl>
      <w:tblPr>
        <w:tblStyle w:val="TableGrid"/>
        <w:tblW w:w="5000" w:type="pct"/>
        <w:jc w:val="center"/>
        <w:tblLook w:val="0020" w:firstRow="1" w:lastRow="0" w:firstColumn="0" w:lastColumn="0" w:noHBand="0" w:noVBand="0"/>
        <w:tblDescription w:val="Population by occupational group as of March 31, 2020"/>
      </w:tblPr>
      <w:tblGrid>
        <w:gridCol w:w="4389"/>
        <w:gridCol w:w="4962"/>
        <w:gridCol w:w="5039"/>
      </w:tblGrid>
      <w:tr w:rsidR="00832F05" w:rsidRPr="008E75FC" w14:paraId="15F8AFEE" w14:textId="77777777" w:rsidTr="0089643E">
        <w:trPr>
          <w:cantSplit/>
          <w:trHeight w:val="290"/>
          <w:tblHeader/>
          <w:jc w:val="center"/>
        </w:trPr>
        <w:tc>
          <w:tcPr>
            <w:tcW w:w="1525" w:type="pct"/>
          </w:tcPr>
          <w:p w14:paraId="5B582B88" w14:textId="77777777" w:rsidR="00AB09A7" w:rsidRPr="008E75FC" w:rsidRDefault="00AB09A7" w:rsidP="00832F05">
            <w:pPr>
              <w:pStyle w:val="TableTitle"/>
              <w:rPr>
                <w:color w:val="auto"/>
                <w:sz w:val="22"/>
                <w:lang w:val="en-CA"/>
              </w:rPr>
            </w:pPr>
            <w:r w:rsidRPr="008E75FC">
              <w:rPr>
                <w:color w:val="auto"/>
                <w:sz w:val="22"/>
                <w:lang w:val="en-CA"/>
              </w:rPr>
              <w:t>Occupational group</w:t>
            </w:r>
          </w:p>
        </w:tc>
        <w:tc>
          <w:tcPr>
            <w:tcW w:w="1724" w:type="pct"/>
          </w:tcPr>
          <w:p w14:paraId="608AEE66" w14:textId="7BFFD449" w:rsidR="00AB09A7" w:rsidRPr="008E75FC" w:rsidRDefault="00AB09A7" w:rsidP="00832F05">
            <w:pPr>
              <w:pStyle w:val="TableTitle"/>
              <w:rPr>
                <w:color w:val="auto"/>
                <w:sz w:val="22"/>
                <w:lang w:val="en-CA"/>
              </w:rPr>
            </w:pPr>
            <w:r w:rsidRPr="008E75FC">
              <w:rPr>
                <w:color w:val="auto"/>
                <w:sz w:val="22"/>
                <w:lang w:val="en-CA"/>
              </w:rPr>
              <w:t xml:space="preserve">Population </w:t>
            </w:r>
            <w:r w:rsidR="00832F05" w:rsidRPr="008E75FC">
              <w:rPr>
                <w:color w:val="auto"/>
                <w:sz w:val="22"/>
                <w:lang w:val="en-CA"/>
              </w:rPr>
              <w:t xml:space="preserve">of population </w:t>
            </w:r>
            <w:r w:rsidRPr="008E75FC">
              <w:rPr>
                <w:color w:val="auto"/>
                <w:sz w:val="22"/>
                <w:lang w:val="en-CA"/>
              </w:rPr>
              <w:t>as of March 31, 2020</w:t>
            </w:r>
          </w:p>
        </w:tc>
        <w:tc>
          <w:tcPr>
            <w:tcW w:w="1751" w:type="pct"/>
          </w:tcPr>
          <w:p w14:paraId="4CE8B1C5" w14:textId="77777777" w:rsidR="00AB09A7" w:rsidRPr="008E75FC" w:rsidRDefault="00AB09A7" w:rsidP="00832F05">
            <w:pPr>
              <w:pStyle w:val="TableTitle"/>
              <w:rPr>
                <w:color w:val="auto"/>
                <w:sz w:val="22"/>
                <w:lang w:val="en-CA"/>
              </w:rPr>
            </w:pPr>
            <w:r w:rsidRPr="008E75FC">
              <w:rPr>
                <w:color w:val="auto"/>
                <w:sz w:val="22"/>
                <w:lang w:val="en-CA"/>
              </w:rPr>
              <w:t>Percentage of population as of March 31, 2020</w:t>
            </w:r>
          </w:p>
        </w:tc>
      </w:tr>
      <w:tr w:rsidR="00832F05" w:rsidRPr="008E75FC" w14:paraId="563E7D73" w14:textId="77777777" w:rsidTr="0089643E">
        <w:trPr>
          <w:cantSplit/>
          <w:trHeight w:val="290"/>
          <w:tblHeader/>
          <w:jc w:val="center"/>
        </w:trPr>
        <w:tc>
          <w:tcPr>
            <w:tcW w:w="1525" w:type="pct"/>
          </w:tcPr>
          <w:p w14:paraId="0081FD61"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PM – Programme Administration</w:t>
            </w:r>
          </w:p>
        </w:tc>
        <w:tc>
          <w:tcPr>
            <w:tcW w:w="1724" w:type="pct"/>
          </w:tcPr>
          <w:p w14:paraId="15E22365"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1 357</w:t>
            </w:r>
          </w:p>
        </w:tc>
        <w:tc>
          <w:tcPr>
            <w:tcW w:w="1751" w:type="pct"/>
          </w:tcPr>
          <w:p w14:paraId="1F74932A"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26%</w:t>
            </w:r>
          </w:p>
        </w:tc>
      </w:tr>
      <w:tr w:rsidR="00832F05" w:rsidRPr="008E75FC" w14:paraId="42B17A6A" w14:textId="77777777" w:rsidTr="0089643E">
        <w:trPr>
          <w:cantSplit/>
          <w:trHeight w:val="290"/>
          <w:tblHeader/>
          <w:jc w:val="center"/>
        </w:trPr>
        <w:tc>
          <w:tcPr>
            <w:tcW w:w="1525" w:type="pct"/>
          </w:tcPr>
          <w:p w14:paraId="365F760A"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AS – Administrative Services</w:t>
            </w:r>
          </w:p>
        </w:tc>
        <w:tc>
          <w:tcPr>
            <w:tcW w:w="1724" w:type="pct"/>
          </w:tcPr>
          <w:p w14:paraId="074023EB"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934</w:t>
            </w:r>
          </w:p>
        </w:tc>
        <w:tc>
          <w:tcPr>
            <w:tcW w:w="1751" w:type="pct"/>
          </w:tcPr>
          <w:p w14:paraId="42AEB062"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18%</w:t>
            </w:r>
          </w:p>
        </w:tc>
      </w:tr>
      <w:tr w:rsidR="00832F05" w:rsidRPr="008E75FC" w14:paraId="4FDFDABF" w14:textId="77777777" w:rsidTr="0089643E">
        <w:trPr>
          <w:cantSplit/>
          <w:trHeight w:val="290"/>
          <w:tblHeader/>
          <w:jc w:val="center"/>
        </w:trPr>
        <w:tc>
          <w:tcPr>
            <w:tcW w:w="1525" w:type="pct"/>
          </w:tcPr>
          <w:p w14:paraId="2DB2140B"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EC – Economics and Social Science Services</w:t>
            </w:r>
          </w:p>
        </w:tc>
        <w:tc>
          <w:tcPr>
            <w:tcW w:w="1724" w:type="pct"/>
          </w:tcPr>
          <w:p w14:paraId="23B7B42D"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903</w:t>
            </w:r>
          </w:p>
        </w:tc>
        <w:tc>
          <w:tcPr>
            <w:tcW w:w="1751" w:type="pct"/>
          </w:tcPr>
          <w:p w14:paraId="5987F571"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17%</w:t>
            </w:r>
          </w:p>
        </w:tc>
      </w:tr>
      <w:tr w:rsidR="00832F05" w:rsidRPr="008E75FC" w14:paraId="422027DD" w14:textId="77777777" w:rsidTr="0089643E">
        <w:trPr>
          <w:cantSplit/>
          <w:trHeight w:val="290"/>
          <w:tblHeader/>
          <w:jc w:val="center"/>
        </w:trPr>
        <w:tc>
          <w:tcPr>
            <w:tcW w:w="1525" w:type="pct"/>
          </w:tcPr>
          <w:p w14:paraId="59D7C467"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CR – Clerical and Regulatory</w:t>
            </w:r>
          </w:p>
        </w:tc>
        <w:tc>
          <w:tcPr>
            <w:tcW w:w="1724" w:type="pct"/>
          </w:tcPr>
          <w:p w14:paraId="4596764A"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432</w:t>
            </w:r>
          </w:p>
        </w:tc>
        <w:tc>
          <w:tcPr>
            <w:tcW w:w="1751" w:type="pct"/>
          </w:tcPr>
          <w:p w14:paraId="3844CAAD"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8%</w:t>
            </w:r>
          </w:p>
        </w:tc>
      </w:tr>
      <w:tr w:rsidR="00832F05" w:rsidRPr="008E75FC" w14:paraId="320B1554" w14:textId="77777777" w:rsidTr="0089643E">
        <w:trPr>
          <w:cantSplit/>
          <w:trHeight w:val="290"/>
          <w:tblHeader/>
          <w:jc w:val="center"/>
        </w:trPr>
        <w:tc>
          <w:tcPr>
            <w:tcW w:w="1525" w:type="pct"/>
          </w:tcPr>
          <w:p w14:paraId="66A61B08"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Other</w:t>
            </w:r>
          </w:p>
        </w:tc>
        <w:tc>
          <w:tcPr>
            <w:tcW w:w="1724" w:type="pct"/>
          </w:tcPr>
          <w:p w14:paraId="0D67E244"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1 568</w:t>
            </w:r>
          </w:p>
        </w:tc>
        <w:tc>
          <w:tcPr>
            <w:tcW w:w="1751" w:type="pct"/>
          </w:tcPr>
          <w:p w14:paraId="656014CE"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30%</w:t>
            </w:r>
          </w:p>
        </w:tc>
      </w:tr>
      <w:tr w:rsidR="00832F05" w:rsidRPr="008E75FC" w14:paraId="0FD0BB15" w14:textId="77777777" w:rsidTr="0089643E">
        <w:trPr>
          <w:cantSplit/>
          <w:trHeight w:val="290"/>
          <w:tblHeader/>
          <w:jc w:val="center"/>
        </w:trPr>
        <w:tc>
          <w:tcPr>
            <w:tcW w:w="1525" w:type="pct"/>
          </w:tcPr>
          <w:p w14:paraId="6E3DFFF8"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Unknown</w:t>
            </w:r>
          </w:p>
        </w:tc>
        <w:tc>
          <w:tcPr>
            <w:tcW w:w="1724" w:type="pct"/>
          </w:tcPr>
          <w:p w14:paraId="5B91BFBC"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276</w:t>
            </w:r>
          </w:p>
        </w:tc>
        <w:tc>
          <w:tcPr>
            <w:tcW w:w="1751" w:type="pct"/>
          </w:tcPr>
          <w:p w14:paraId="017565D8" w14:textId="659D48D1" w:rsidR="00AB09A7" w:rsidRPr="008E75FC" w:rsidRDefault="00832F05"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0%</w:t>
            </w:r>
          </w:p>
        </w:tc>
      </w:tr>
    </w:tbl>
    <w:p w14:paraId="0B6B293D" w14:textId="77777777" w:rsidR="00AB09A7" w:rsidRPr="008E75FC" w:rsidRDefault="00AB09A7" w:rsidP="00436220">
      <w:pPr>
        <w:tabs>
          <w:tab w:val="left" w:pos="7839"/>
        </w:tabs>
        <w:rPr>
          <w:rFonts w:asciiTheme="minorHAnsi" w:hAnsiTheme="minorHAnsi" w:cstheme="minorHAnsi"/>
          <w:noProof/>
          <w:lang w:val="en-CA" w:eastAsia="en-CA"/>
        </w:rPr>
      </w:pPr>
    </w:p>
    <w:p w14:paraId="34E9F274" w14:textId="77777777" w:rsidR="00244BB9" w:rsidRPr="008E75FC" w:rsidRDefault="00244BB9" w:rsidP="00436220">
      <w:pPr>
        <w:tabs>
          <w:tab w:val="left" w:pos="7839"/>
        </w:tabs>
        <w:rPr>
          <w:rFonts w:asciiTheme="minorHAnsi" w:hAnsiTheme="minorHAnsi" w:cstheme="minorHAnsi"/>
          <w:noProof/>
          <w:lang w:val="en-CA" w:eastAsia="en-CA"/>
        </w:rPr>
        <w:sectPr w:rsidR="00244BB9" w:rsidRPr="008E75FC" w:rsidSect="002549B0">
          <w:pgSz w:w="15840" w:h="12240" w:orient="landscape"/>
          <w:pgMar w:top="1025" w:right="720" w:bottom="720" w:left="720" w:header="708" w:footer="708" w:gutter="0"/>
          <w:cols w:space="708"/>
          <w:titlePg/>
          <w:docGrid w:linePitch="360"/>
        </w:sectPr>
      </w:pPr>
    </w:p>
    <w:p w14:paraId="5C3B8F39" w14:textId="5BC03F17" w:rsidR="00244BB9" w:rsidRPr="0059129D" w:rsidRDefault="00832F05" w:rsidP="00832F05">
      <w:pPr>
        <w:pStyle w:val="Heading1"/>
        <w:spacing w:before="120" w:after="120"/>
        <w:rPr>
          <w:noProof/>
          <w:sz w:val="40"/>
          <w:lang w:val="en-CA" w:eastAsia="en-CA"/>
        </w:rPr>
      </w:pPr>
      <w:r w:rsidRPr="0059129D">
        <w:rPr>
          <w:noProof/>
          <w:sz w:val="40"/>
          <w:lang w:val="en-CA" w:eastAsia="en-CA"/>
        </w:rPr>
        <w:lastRenderedPageBreak/>
        <w:t>Population by region as of March 31, 2020</w:t>
      </w:r>
    </w:p>
    <w:p w14:paraId="6A788008" w14:textId="77777777" w:rsidR="00832F05" w:rsidRPr="008E75FC" w:rsidRDefault="00244BB9" w:rsidP="00832F05">
      <w:pPr>
        <w:keepNext/>
        <w:tabs>
          <w:tab w:val="left" w:pos="7839"/>
        </w:tabs>
        <w:jc w:val="center"/>
        <w:rPr>
          <w:lang w:val="en-CA"/>
        </w:rPr>
      </w:pPr>
      <w:r w:rsidRPr="008E75FC">
        <w:rPr>
          <w:rFonts w:asciiTheme="minorHAnsi" w:hAnsiTheme="minorHAnsi" w:cstheme="minorHAnsi"/>
          <w:noProof/>
          <w:lang w:val="en-CA" w:eastAsia="en-CA"/>
        </w:rPr>
        <w:drawing>
          <wp:inline distT="0" distB="0" distL="0" distR="0" wp14:anchorId="0E358DC4" wp14:editId="50C468F2">
            <wp:extent cx="1980000" cy="3020400"/>
            <wp:effectExtent l="0" t="0" r="1270" b="8890"/>
            <wp:docPr id="12" name="Chart 12" descr="Population by region as of March 31, 2020 "/>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AB3F3AE" w14:textId="394773C4" w:rsidR="00244BB9" w:rsidRPr="008E75FC" w:rsidRDefault="00832F05" w:rsidP="00832F05">
      <w:pPr>
        <w:pStyle w:val="Caption"/>
        <w:spacing w:after="0"/>
        <w:jc w:val="center"/>
        <w:rPr>
          <w:rFonts w:asciiTheme="minorHAnsi" w:hAnsiTheme="minorHAnsi" w:cstheme="minorHAnsi"/>
          <w:i w:val="0"/>
          <w:noProof/>
          <w:color w:val="auto"/>
          <w:lang w:val="en-CA" w:eastAsia="en-CA"/>
        </w:rPr>
      </w:pPr>
      <w:r w:rsidRPr="008E75FC">
        <w:rPr>
          <w:rFonts w:asciiTheme="minorHAnsi" w:hAnsiTheme="minorHAnsi" w:cstheme="minorHAnsi"/>
          <w:i w:val="0"/>
          <w:color w:val="auto"/>
          <w:lang w:val="en-CA"/>
        </w:rPr>
        <w:t xml:space="preserve">Figure </w:t>
      </w:r>
      <w:r w:rsidRPr="008E75FC">
        <w:rPr>
          <w:rFonts w:asciiTheme="minorHAnsi" w:hAnsiTheme="minorHAnsi" w:cstheme="minorHAnsi"/>
          <w:i w:val="0"/>
          <w:color w:val="auto"/>
          <w:lang w:val="en-CA"/>
        </w:rPr>
        <w:fldChar w:fldCharType="begin"/>
      </w:r>
      <w:r w:rsidRPr="008E75FC">
        <w:rPr>
          <w:rFonts w:asciiTheme="minorHAnsi" w:hAnsiTheme="minorHAnsi" w:cstheme="minorHAnsi"/>
          <w:i w:val="0"/>
          <w:color w:val="auto"/>
          <w:lang w:val="en-CA"/>
        </w:rPr>
        <w:instrText xml:space="preserve"> SEQ Figure \* ARABIC </w:instrText>
      </w:r>
      <w:r w:rsidRPr="008E75FC">
        <w:rPr>
          <w:rFonts w:asciiTheme="minorHAnsi" w:hAnsiTheme="minorHAnsi" w:cstheme="minorHAnsi"/>
          <w:i w:val="0"/>
          <w:color w:val="auto"/>
          <w:lang w:val="en-CA"/>
        </w:rPr>
        <w:fldChar w:fldCharType="separate"/>
      </w:r>
      <w:r w:rsidR="00C57B8B" w:rsidRPr="008E75FC">
        <w:rPr>
          <w:rFonts w:asciiTheme="minorHAnsi" w:hAnsiTheme="minorHAnsi" w:cstheme="minorHAnsi"/>
          <w:i w:val="0"/>
          <w:noProof/>
          <w:color w:val="auto"/>
          <w:lang w:val="en-CA"/>
        </w:rPr>
        <w:t>4</w:t>
      </w:r>
      <w:r w:rsidRPr="008E75FC">
        <w:rPr>
          <w:rFonts w:asciiTheme="minorHAnsi" w:hAnsiTheme="minorHAnsi" w:cstheme="minorHAnsi"/>
          <w:i w:val="0"/>
          <w:color w:val="auto"/>
          <w:lang w:val="en-CA"/>
        </w:rPr>
        <w:fldChar w:fldCharType="end"/>
      </w:r>
      <w:r w:rsidRPr="008E75FC">
        <w:rPr>
          <w:rFonts w:asciiTheme="minorHAnsi" w:hAnsiTheme="minorHAnsi" w:cstheme="minorHAnsi"/>
          <w:i w:val="0"/>
          <w:color w:val="auto"/>
          <w:lang w:val="en-CA"/>
        </w:rPr>
        <w:t xml:space="preserve"> - Population by region as of March 31, 2020</w:t>
      </w:r>
    </w:p>
    <w:p w14:paraId="35E63954" w14:textId="3558EF47" w:rsidR="00832F05" w:rsidRPr="008E75FC" w:rsidRDefault="00832F05" w:rsidP="00832F05">
      <w:pPr>
        <w:pStyle w:val="Caption"/>
        <w:keepNext/>
        <w:spacing w:before="240" w:after="0"/>
        <w:jc w:val="center"/>
        <w:rPr>
          <w:rFonts w:asciiTheme="minorHAnsi" w:hAnsiTheme="minorHAnsi" w:cstheme="minorHAnsi"/>
          <w:i w:val="0"/>
          <w:color w:val="auto"/>
          <w:lang w:val="en-CA"/>
        </w:rPr>
      </w:pPr>
      <w:r w:rsidRPr="008E75FC">
        <w:rPr>
          <w:rFonts w:asciiTheme="minorHAnsi" w:hAnsiTheme="minorHAnsi" w:cstheme="minorHAnsi"/>
          <w:i w:val="0"/>
          <w:color w:val="auto"/>
          <w:lang w:val="en-CA"/>
        </w:rPr>
        <w:t xml:space="preserve">Table </w:t>
      </w:r>
      <w:r w:rsidRPr="008E75FC">
        <w:rPr>
          <w:rFonts w:asciiTheme="minorHAnsi" w:hAnsiTheme="minorHAnsi" w:cstheme="minorHAnsi"/>
          <w:i w:val="0"/>
          <w:color w:val="auto"/>
          <w:lang w:val="en-CA"/>
        </w:rPr>
        <w:fldChar w:fldCharType="begin"/>
      </w:r>
      <w:r w:rsidRPr="008E75FC">
        <w:rPr>
          <w:rFonts w:asciiTheme="minorHAnsi" w:hAnsiTheme="minorHAnsi" w:cstheme="minorHAnsi"/>
          <w:i w:val="0"/>
          <w:color w:val="auto"/>
          <w:lang w:val="en-CA"/>
        </w:rPr>
        <w:instrText xml:space="preserve"> SEQ Table \* ARABIC </w:instrText>
      </w:r>
      <w:r w:rsidRPr="008E75FC">
        <w:rPr>
          <w:rFonts w:asciiTheme="minorHAnsi" w:hAnsiTheme="minorHAnsi" w:cstheme="minorHAnsi"/>
          <w:i w:val="0"/>
          <w:color w:val="auto"/>
          <w:lang w:val="en-CA"/>
        </w:rPr>
        <w:fldChar w:fldCharType="separate"/>
      </w:r>
      <w:r w:rsidR="006632C2" w:rsidRPr="008E75FC">
        <w:rPr>
          <w:rFonts w:asciiTheme="minorHAnsi" w:hAnsiTheme="minorHAnsi" w:cstheme="minorHAnsi"/>
          <w:i w:val="0"/>
          <w:noProof/>
          <w:color w:val="auto"/>
          <w:lang w:val="en-CA"/>
        </w:rPr>
        <w:t>7</w:t>
      </w:r>
      <w:r w:rsidRPr="008E75FC">
        <w:rPr>
          <w:rFonts w:asciiTheme="minorHAnsi" w:hAnsiTheme="minorHAnsi" w:cstheme="minorHAnsi"/>
          <w:i w:val="0"/>
          <w:color w:val="auto"/>
          <w:lang w:val="en-CA"/>
        </w:rPr>
        <w:fldChar w:fldCharType="end"/>
      </w:r>
      <w:r w:rsidRPr="008E75FC">
        <w:rPr>
          <w:rFonts w:asciiTheme="minorHAnsi" w:hAnsiTheme="minorHAnsi" w:cstheme="minorHAnsi"/>
          <w:i w:val="0"/>
          <w:color w:val="auto"/>
          <w:lang w:val="en-CA"/>
        </w:rPr>
        <w:t xml:space="preserve"> - Distribution by region, as a percentage of the </w:t>
      </w:r>
      <w:r w:rsidRPr="008E75FC">
        <w:rPr>
          <w:rStyle w:val="Emphasis"/>
          <w:rFonts w:asciiTheme="minorHAnsi" w:hAnsiTheme="minorHAnsi" w:cstheme="minorHAnsi"/>
          <w:i/>
          <w:color w:val="auto"/>
          <w:lang w:val="en-CA"/>
        </w:rPr>
        <w:t>Public Service Employment Act</w:t>
      </w:r>
      <w:r w:rsidRPr="008E75FC">
        <w:rPr>
          <w:rFonts w:asciiTheme="minorHAnsi" w:hAnsiTheme="minorHAnsi" w:cstheme="minorHAnsi"/>
          <w:i w:val="0"/>
          <w:color w:val="auto"/>
          <w:lang w:val="en-CA"/>
        </w:rPr>
        <w:t xml:space="preserve"> population for fiscal year 2019 to 2020</w:t>
      </w:r>
    </w:p>
    <w:tbl>
      <w:tblPr>
        <w:tblStyle w:val="TableGrid"/>
        <w:tblW w:w="5000" w:type="pct"/>
        <w:jc w:val="center"/>
        <w:tblLook w:val="0020" w:firstRow="1" w:lastRow="0" w:firstColumn="0" w:lastColumn="0" w:noHBand="0" w:noVBand="0"/>
        <w:tblDescription w:val="Population by occupational group as of March 31, 2020"/>
      </w:tblPr>
      <w:tblGrid>
        <w:gridCol w:w="3255"/>
        <w:gridCol w:w="5529"/>
        <w:gridCol w:w="5606"/>
      </w:tblGrid>
      <w:tr w:rsidR="00775CE4" w:rsidRPr="008E75FC" w14:paraId="76B3E3A3" w14:textId="77777777" w:rsidTr="0089643E">
        <w:trPr>
          <w:cantSplit/>
          <w:trHeight w:val="290"/>
          <w:tblHeader/>
          <w:jc w:val="center"/>
        </w:trPr>
        <w:tc>
          <w:tcPr>
            <w:tcW w:w="1131" w:type="pct"/>
          </w:tcPr>
          <w:p w14:paraId="4A79B5A9" w14:textId="77777777" w:rsidR="00AB09A7" w:rsidRPr="008E75FC" w:rsidRDefault="00AB09A7" w:rsidP="00832F05">
            <w:pPr>
              <w:pStyle w:val="TableTitle"/>
              <w:rPr>
                <w:color w:val="auto"/>
                <w:sz w:val="22"/>
                <w:lang w:val="en-CA"/>
              </w:rPr>
            </w:pPr>
            <w:r w:rsidRPr="008E75FC">
              <w:rPr>
                <w:color w:val="auto"/>
                <w:sz w:val="22"/>
                <w:lang w:val="en-CA"/>
              </w:rPr>
              <w:t>Region</w:t>
            </w:r>
          </w:p>
        </w:tc>
        <w:tc>
          <w:tcPr>
            <w:tcW w:w="1921" w:type="pct"/>
          </w:tcPr>
          <w:p w14:paraId="3A3AF294" w14:textId="605A5549" w:rsidR="00AB09A7" w:rsidRPr="008E75FC" w:rsidRDefault="00AB09A7" w:rsidP="00832F05">
            <w:pPr>
              <w:pStyle w:val="TableTitle"/>
              <w:rPr>
                <w:color w:val="auto"/>
                <w:sz w:val="22"/>
                <w:lang w:val="en-CA"/>
              </w:rPr>
            </w:pPr>
            <w:r w:rsidRPr="008E75FC">
              <w:rPr>
                <w:color w:val="auto"/>
                <w:sz w:val="22"/>
                <w:lang w:val="en-CA"/>
              </w:rPr>
              <w:t xml:space="preserve">Population </w:t>
            </w:r>
            <w:r w:rsidR="00775CE4" w:rsidRPr="008E75FC">
              <w:rPr>
                <w:color w:val="auto"/>
                <w:sz w:val="22"/>
                <w:lang w:val="en-CA"/>
              </w:rPr>
              <w:t xml:space="preserve">of population </w:t>
            </w:r>
            <w:r w:rsidRPr="008E75FC">
              <w:rPr>
                <w:color w:val="auto"/>
                <w:sz w:val="22"/>
                <w:lang w:val="en-CA"/>
              </w:rPr>
              <w:t>as of March 31, 2020</w:t>
            </w:r>
          </w:p>
        </w:tc>
        <w:tc>
          <w:tcPr>
            <w:tcW w:w="1948" w:type="pct"/>
          </w:tcPr>
          <w:p w14:paraId="0278FDF9" w14:textId="77777777" w:rsidR="00AB09A7" w:rsidRPr="008E75FC" w:rsidRDefault="00AB09A7" w:rsidP="00832F05">
            <w:pPr>
              <w:pStyle w:val="TableTitle"/>
              <w:rPr>
                <w:color w:val="auto"/>
                <w:sz w:val="22"/>
                <w:lang w:val="en-CA"/>
              </w:rPr>
            </w:pPr>
            <w:r w:rsidRPr="008E75FC">
              <w:rPr>
                <w:color w:val="auto"/>
                <w:sz w:val="22"/>
                <w:lang w:val="en-CA"/>
              </w:rPr>
              <w:t>Percentage of population as of March 31, 2020</w:t>
            </w:r>
          </w:p>
        </w:tc>
      </w:tr>
      <w:tr w:rsidR="00775CE4" w:rsidRPr="008E75FC" w14:paraId="61BEDB42" w14:textId="77777777" w:rsidTr="0089643E">
        <w:trPr>
          <w:cantSplit/>
          <w:trHeight w:val="290"/>
          <w:tblHeader/>
          <w:jc w:val="center"/>
        </w:trPr>
        <w:tc>
          <w:tcPr>
            <w:tcW w:w="1131" w:type="pct"/>
          </w:tcPr>
          <w:p w14:paraId="6E30EE88"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National Capital Region (NCR)</w:t>
            </w:r>
          </w:p>
        </w:tc>
        <w:tc>
          <w:tcPr>
            <w:tcW w:w="1921" w:type="pct"/>
          </w:tcPr>
          <w:p w14:paraId="663BD429"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2 882</w:t>
            </w:r>
          </w:p>
        </w:tc>
        <w:tc>
          <w:tcPr>
            <w:tcW w:w="1948" w:type="pct"/>
          </w:tcPr>
          <w:p w14:paraId="2047135F"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55%</w:t>
            </w:r>
          </w:p>
        </w:tc>
      </w:tr>
      <w:tr w:rsidR="00775CE4" w:rsidRPr="008E75FC" w14:paraId="45975206" w14:textId="77777777" w:rsidTr="0089643E">
        <w:trPr>
          <w:cantSplit/>
          <w:trHeight w:val="290"/>
          <w:tblHeader/>
          <w:jc w:val="center"/>
        </w:trPr>
        <w:tc>
          <w:tcPr>
            <w:tcW w:w="1131" w:type="pct"/>
          </w:tcPr>
          <w:p w14:paraId="71EE5235"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Non-NCR</w:t>
            </w:r>
          </w:p>
        </w:tc>
        <w:tc>
          <w:tcPr>
            <w:tcW w:w="1921" w:type="pct"/>
          </w:tcPr>
          <w:p w14:paraId="5ED4B649"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2 387</w:t>
            </w:r>
          </w:p>
        </w:tc>
        <w:tc>
          <w:tcPr>
            <w:tcW w:w="1948" w:type="pct"/>
          </w:tcPr>
          <w:p w14:paraId="2161F240"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45%</w:t>
            </w:r>
          </w:p>
        </w:tc>
      </w:tr>
      <w:tr w:rsidR="00775CE4" w:rsidRPr="008E75FC" w14:paraId="4AE621D4" w14:textId="77777777" w:rsidTr="0089643E">
        <w:trPr>
          <w:cantSplit/>
          <w:trHeight w:val="290"/>
          <w:tblHeader/>
          <w:jc w:val="center"/>
        </w:trPr>
        <w:tc>
          <w:tcPr>
            <w:tcW w:w="1131" w:type="pct"/>
          </w:tcPr>
          <w:p w14:paraId="593282AD"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Unknown</w:t>
            </w:r>
          </w:p>
        </w:tc>
        <w:tc>
          <w:tcPr>
            <w:tcW w:w="1921" w:type="pct"/>
          </w:tcPr>
          <w:p w14:paraId="01CC002B"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201</w:t>
            </w:r>
          </w:p>
        </w:tc>
        <w:tc>
          <w:tcPr>
            <w:tcW w:w="1948" w:type="pct"/>
          </w:tcPr>
          <w:p w14:paraId="0A2F1285" w14:textId="7F5939DF" w:rsidR="00AB09A7" w:rsidRPr="008E75FC" w:rsidRDefault="00775CE4"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0%</w:t>
            </w:r>
          </w:p>
        </w:tc>
      </w:tr>
    </w:tbl>
    <w:p w14:paraId="6B36ED43" w14:textId="77777777" w:rsidR="00244BB9" w:rsidRPr="008E75FC" w:rsidRDefault="00244BB9" w:rsidP="00436220">
      <w:pPr>
        <w:tabs>
          <w:tab w:val="left" w:pos="7839"/>
        </w:tabs>
        <w:rPr>
          <w:rFonts w:asciiTheme="minorHAnsi" w:hAnsiTheme="minorHAnsi" w:cstheme="minorHAnsi"/>
          <w:noProof/>
          <w:lang w:val="en-CA" w:eastAsia="en-CA"/>
        </w:rPr>
      </w:pPr>
    </w:p>
    <w:p w14:paraId="115488EE" w14:textId="77777777" w:rsidR="00244BB9" w:rsidRPr="008E75FC" w:rsidRDefault="00244BB9" w:rsidP="00436220">
      <w:pPr>
        <w:tabs>
          <w:tab w:val="left" w:pos="7839"/>
        </w:tabs>
        <w:rPr>
          <w:rFonts w:asciiTheme="minorHAnsi" w:hAnsiTheme="minorHAnsi" w:cstheme="minorHAnsi"/>
          <w:noProof/>
          <w:lang w:val="en-CA" w:eastAsia="en-CA"/>
        </w:rPr>
        <w:sectPr w:rsidR="00244BB9" w:rsidRPr="008E75FC" w:rsidSect="002549B0">
          <w:pgSz w:w="15840" w:h="12240" w:orient="landscape"/>
          <w:pgMar w:top="1025" w:right="720" w:bottom="720" w:left="720" w:header="708" w:footer="708" w:gutter="0"/>
          <w:cols w:space="708"/>
          <w:titlePg/>
          <w:docGrid w:linePitch="360"/>
        </w:sectPr>
      </w:pPr>
    </w:p>
    <w:p w14:paraId="353904AC" w14:textId="1AD723A5" w:rsidR="00244BB9" w:rsidRPr="008E75FC" w:rsidRDefault="00775CE4" w:rsidP="00775CE4">
      <w:pPr>
        <w:pStyle w:val="Heading1"/>
        <w:spacing w:before="120" w:after="120"/>
        <w:rPr>
          <w:noProof/>
          <w:sz w:val="40"/>
          <w:lang w:val="en-CA" w:eastAsia="en-CA"/>
        </w:rPr>
      </w:pPr>
      <w:r w:rsidRPr="008E75FC">
        <w:rPr>
          <w:rFonts w:eastAsia="Times New Roman"/>
          <w:noProof/>
          <w:sz w:val="40"/>
          <w:lang w:val="en-CA" w:eastAsia="en-CA"/>
        </w:rPr>
        <w:lastRenderedPageBreak/>
        <w:t>External indeterminate hires by occupational group, 2019-</w:t>
      </w:r>
      <w:r w:rsidR="0059129D">
        <w:rPr>
          <w:rFonts w:eastAsia="Times New Roman"/>
          <w:noProof/>
          <w:sz w:val="40"/>
          <w:lang w:val="en-CA" w:eastAsia="en-CA"/>
        </w:rPr>
        <w:t>20</w:t>
      </w:r>
      <w:r w:rsidRPr="008E75FC">
        <w:rPr>
          <w:rFonts w:eastAsia="Times New Roman"/>
          <w:noProof/>
          <w:sz w:val="40"/>
          <w:lang w:val="en-CA" w:eastAsia="en-CA"/>
        </w:rPr>
        <w:t>20</w:t>
      </w:r>
    </w:p>
    <w:p w14:paraId="6E3BD122" w14:textId="77777777" w:rsidR="00775CE4" w:rsidRPr="008E75FC" w:rsidRDefault="00436220" w:rsidP="00775CE4">
      <w:pPr>
        <w:keepNext/>
        <w:tabs>
          <w:tab w:val="left" w:pos="7839"/>
        </w:tabs>
        <w:jc w:val="center"/>
        <w:rPr>
          <w:lang w:val="en-CA"/>
        </w:rPr>
      </w:pPr>
      <w:r w:rsidRPr="008E75FC">
        <w:rPr>
          <w:rFonts w:asciiTheme="minorHAnsi" w:hAnsiTheme="minorHAnsi" w:cstheme="minorHAnsi"/>
          <w:noProof/>
          <w:lang w:val="en-CA" w:eastAsia="en-CA"/>
        </w:rPr>
        <w:drawing>
          <wp:inline distT="0" distB="0" distL="0" distR="0" wp14:anchorId="7C53AF84" wp14:editId="0A26743D">
            <wp:extent cx="1980000" cy="3020400"/>
            <wp:effectExtent l="0" t="0" r="1270" b="8890"/>
            <wp:docPr id="7" name="Chart 7" descr="External indeterminate hires by occupational group,2019-2020 "/>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1A5AF16" w14:textId="0045F0B3" w:rsidR="00244BB9" w:rsidRPr="008E75FC" w:rsidRDefault="00775CE4" w:rsidP="00775CE4">
      <w:pPr>
        <w:pStyle w:val="Caption"/>
        <w:spacing w:after="0"/>
        <w:jc w:val="center"/>
        <w:rPr>
          <w:rFonts w:asciiTheme="minorHAnsi" w:hAnsiTheme="minorHAnsi" w:cstheme="minorHAnsi"/>
          <w:i w:val="0"/>
          <w:noProof/>
          <w:color w:val="auto"/>
          <w:lang w:val="en-CA" w:eastAsia="en-CA"/>
        </w:rPr>
      </w:pPr>
      <w:r w:rsidRPr="008E75FC">
        <w:rPr>
          <w:rFonts w:asciiTheme="minorHAnsi" w:hAnsiTheme="minorHAnsi" w:cstheme="minorHAnsi"/>
          <w:i w:val="0"/>
          <w:color w:val="auto"/>
          <w:lang w:val="en-CA"/>
        </w:rPr>
        <w:t xml:space="preserve">Figure </w:t>
      </w:r>
      <w:r w:rsidRPr="008E75FC">
        <w:rPr>
          <w:rFonts w:asciiTheme="minorHAnsi" w:hAnsiTheme="minorHAnsi" w:cstheme="minorHAnsi"/>
          <w:i w:val="0"/>
          <w:color w:val="auto"/>
          <w:lang w:val="en-CA"/>
        </w:rPr>
        <w:fldChar w:fldCharType="begin"/>
      </w:r>
      <w:r w:rsidRPr="008E75FC">
        <w:rPr>
          <w:rFonts w:asciiTheme="minorHAnsi" w:hAnsiTheme="minorHAnsi" w:cstheme="minorHAnsi"/>
          <w:i w:val="0"/>
          <w:color w:val="auto"/>
          <w:lang w:val="en-CA"/>
        </w:rPr>
        <w:instrText xml:space="preserve"> SEQ Figure \* ARABIC </w:instrText>
      </w:r>
      <w:r w:rsidRPr="008E75FC">
        <w:rPr>
          <w:rFonts w:asciiTheme="minorHAnsi" w:hAnsiTheme="minorHAnsi" w:cstheme="minorHAnsi"/>
          <w:i w:val="0"/>
          <w:color w:val="auto"/>
          <w:lang w:val="en-CA"/>
        </w:rPr>
        <w:fldChar w:fldCharType="separate"/>
      </w:r>
      <w:r w:rsidR="00C57B8B" w:rsidRPr="008E75FC">
        <w:rPr>
          <w:rFonts w:asciiTheme="minorHAnsi" w:hAnsiTheme="minorHAnsi" w:cstheme="minorHAnsi"/>
          <w:i w:val="0"/>
          <w:noProof/>
          <w:color w:val="auto"/>
          <w:lang w:val="en-CA"/>
        </w:rPr>
        <w:t>5</w:t>
      </w:r>
      <w:r w:rsidRPr="008E75FC">
        <w:rPr>
          <w:rFonts w:asciiTheme="minorHAnsi" w:hAnsiTheme="minorHAnsi" w:cstheme="minorHAnsi"/>
          <w:i w:val="0"/>
          <w:color w:val="auto"/>
          <w:lang w:val="en-CA"/>
        </w:rPr>
        <w:fldChar w:fldCharType="end"/>
      </w:r>
      <w:r w:rsidRPr="008E75FC">
        <w:rPr>
          <w:rFonts w:asciiTheme="minorHAnsi" w:hAnsiTheme="minorHAnsi" w:cstheme="minorHAnsi"/>
          <w:i w:val="0"/>
          <w:color w:val="auto"/>
          <w:lang w:val="en-CA"/>
        </w:rPr>
        <w:t xml:space="preserve"> - External indeterminate hires by occupational group, 2019-20</w:t>
      </w:r>
      <w:r w:rsidR="0059129D">
        <w:rPr>
          <w:rFonts w:asciiTheme="minorHAnsi" w:hAnsiTheme="minorHAnsi" w:cstheme="minorHAnsi"/>
          <w:i w:val="0"/>
          <w:color w:val="auto"/>
          <w:lang w:val="en-CA"/>
        </w:rPr>
        <w:t>20</w:t>
      </w:r>
    </w:p>
    <w:p w14:paraId="36D7BD4A" w14:textId="75597616" w:rsidR="00775CE4" w:rsidRPr="008E75FC" w:rsidRDefault="00775CE4" w:rsidP="00775CE4">
      <w:pPr>
        <w:pStyle w:val="Caption"/>
        <w:keepNext/>
        <w:spacing w:before="240" w:after="0"/>
        <w:jc w:val="center"/>
        <w:rPr>
          <w:rFonts w:asciiTheme="minorHAnsi" w:hAnsiTheme="minorHAnsi" w:cstheme="minorHAnsi"/>
          <w:i w:val="0"/>
          <w:color w:val="auto"/>
          <w:lang w:val="en-CA"/>
        </w:rPr>
      </w:pPr>
      <w:r w:rsidRPr="008E75FC">
        <w:rPr>
          <w:rFonts w:asciiTheme="minorHAnsi" w:hAnsiTheme="minorHAnsi" w:cstheme="minorHAnsi"/>
          <w:i w:val="0"/>
          <w:color w:val="auto"/>
          <w:lang w:val="en-CA"/>
        </w:rPr>
        <w:t xml:space="preserve">Table </w:t>
      </w:r>
      <w:r w:rsidRPr="008E75FC">
        <w:rPr>
          <w:rFonts w:asciiTheme="minorHAnsi" w:hAnsiTheme="minorHAnsi" w:cstheme="minorHAnsi"/>
          <w:i w:val="0"/>
          <w:color w:val="auto"/>
          <w:lang w:val="en-CA"/>
        </w:rPr>
        <w:fldChar w:fldCharType="begin"/>
      </w:r>
      <w:r w:rsidRPr="008E75FC">
        <w:rPr>
          <w:rFonts w:asciiTheme="minorHAnsi" w:hAnsiTheme="minorHAnsi" w:cstheme="minorHAnsi"/>
          <w:i w:val="0"/>
          <w:color w:val="auto"/>
          <w:lang w:val="en-CA"/>
        </w:rPr>
        <w:instrText xml:space="preserve"> SEQ Table \* ARABIC </w:instrText>
      </w:r>
      <w:r w:rsidRPr="008E75FC">
        <w:rPr>
          <w:rFonts w:asciiTheme="minorHAnsi" w:hAnsiTheme="minorHAnsi" w:cstheme="minorHAnsi"/>
          <w:i w:val="0"/>
          <w:color w:val="auto"/>
          <w:lang w:val="en-CA"/>
        </w:rPr>
        <w:fldChar w:fldCharType="separate"/>
      </w:r>
      <w:r w:rsidR="006632C2" w:rsidRPr="008E75FC">
        <w:rPr>
          <w:rFonts w:asciiTheme="minorHAnsi" w:hAnsiTheme="minorHAnsi" w:cstheme="minorHAnsi"/>
          <w:i w:val="0"/>
          <w:noProof/>
          <w:color w:val="auto"/>
          <w:lang w:val="en-CA"/>
        </w:rPr>
        <w:t>8</w:t>
      </w:r>
      <w:r w:rsidRPr="008E75FC">
        <w:rPr>
          <w:rFonts w:asciiTheme="minorHAnsi" w:hAnsiTheme="minorHAnsi" w:cstheme="minorHAnsi"/>
          <w:i w:val="0"/>
          <w:color w:val="auto"/>
          <w:lang w:val="en-CA"/>
        </w:rPr>
        <w:fldChar w:fldCharType="end"/>
      </w:r>
      <w:r w:rsidRPr="008E75FC">
        <w:rPr>
          <w:rFonts w:asciiTheme="minorHAnsi" w:hAnsiTheme="minorHAnsi" w:cstheme="minorHAnsi"/>
          <w:i w:val="0"/>
          <w:color w:val="auto"/>
          <w:lang w:val="en-CA"/>
        </w:rPr>
        <w:t xml:space="preserve"> - External indeterminate hires by top occupational groups, for fiscal year 2019 to 2020</w:t>
      </w:r>
    </w:p>
    <w:tbl>
      <w:tblPr>
        <w:tblStyle w:val="TableGrid"/>
        <w:tblW w:w="5000" w:type="pct"/>
        <w:jc w:val="center"/>
        <w:tblLook w:val="0020" w:firstRow="1" w:lastRow="0" w:firstColumn="0" w:lastColumn="0" w:noHBand="0" w:noVBand="0"/>
        <w:tblDescription w:val="External indeterminate hires by occupational group, 2019-2020"/>
      </w:tblPr>
      <w:tblGrid>
        <w:gridCol w:w="4530"/>
        <w:gridCol w:w="4536"/>
        <w:gridCol w:w="5324"/>
      </w:tblGrid>
      <w:tr w:rsidR="00775CE4" w:rsidRPr="008E75FC" w14:paraId="2880DD11" w14:textId="77777777" w:rsidTr="0089643E">
        <w:trPr>
          <w:cantSplit/>
          <w:trHeight w:val="290"/>
          <w:tblHeader/>
          <w:jc w:val="center"/>
        </w:trPr>
        <w:tc>
          <w:tcPr>
            <w:tcW w:w="1574" w:type="pct"/>
          </w:tcPr>
          <w:p w14:paraId="466A60DC" w14:textId="77777777" w:rsidR="00AB09A7" w:rsidRPr="008E75FC" w:rsidRDefault="00AB09A7" w:rsidP="00775CE4">
            <w:pPr>
              <w:pStyle w:val="TableTitle"/>
              <w:rPr>
                <w:color w:val="auto"/>
                <w:sz w:val="22"/>
                <w:lang w:val="en-CA"/>
              </w:rPr>
            </w:pPr>
            <w:r w:rsidRPr="008E75FC">
              <w:rPr>
                <w:color w:val="auto"/>
                <w:sz w:val="22"/>
                <w:lang w:val="en-CA"/>
              </w:rPr>
              <w:t>Occupational group</w:t>
            </w:r>
          </w:p>
        </w:tc>
        <w:tc>
          <w:tcPr>
            <w:tcW w:w="1576" w:type="pct"/>
          </w:tcPr>
          <w:p w14:paraId="7A12A8D7" w14:textId="77777777" w:rsidR="00AB09A7" w:rsidRPr="008E75FC" w:rsidRDefault="00AB09A7" w:rsidP="00775CE4">
            <w:pPr>
              <w:pStyle w:val="TableTitle"/>
              <w:rPr>
                <w:color w:val="auto"/>
                <w:sz w:val="22"/>
                <w:lang w:val="en-CA"/>
              </w:rPr>
            </w:pPr>
            <w:r w:rsidRPr="008E75FC">
              <w:rPr>
                <w:color w:val="auto"/>
                <w:sz w:val="22"/>
                <w:lang w:val="en-CA"/>
              </w:rPr>
              <w:t xml:space="preserve">Number of indeterminate hiring activities </w:t>
            </w:r>
          </w:p>
        </w:tc>
        <w:tc>
          <w:tcPr>
            <w:tcW w:w="1850" w:type="pct"/>
          </w:tcPr>
          <w:p w14:paraId="38E446E7" w14:textId="77777777" w:rsidR="00AB09A7" w:rsidRPr="008E75FC" w:rsidRDefault="00AB09A7" w:rsidP="00775CE4">
            <w:pPr>
              <w:pStyle w:val="TableTitle"/>
              <w:rPr>
                <w:color w:val="auto"/>
                <w:sz w:val="22"/>
                <w:lang w:val="en-CA"/>
              </w:rPr>
            </w:pPr>
            <w:r w:rsidRPr="008E75FC">
              <w:rPr>
                <w:color w:val="auto"/>
                <w:sz w:val="22"/>
                <w:lang w:val="en-CA"/>
              </w:rPr>
              <w:t>Percentage of all indeterminate hiring activities</w:t>
            </w:r>
          </w:p>
        </w:tc>
      </w:tr>
      <w:tr w:rsidR="00775CE4" w:rsidRPr="008E75FC" w14:paraId="56623926" w14:textId="77777777" w:rsidTr="0089643E">
        <w:trPr>
          <w:cantSplit/>
          <w:trHeight w:val="290"/>
          <w:tblHeader/>
          <w:jc w:val="center"/>
        </w:trPr>
        <w:tc>
          <w:tcPr>
            <w:tcW w:w="1574" w:type="pct"/>
          </w:tcPr>
          <w:p w14:paraId="72ADA426" w14:textId="77777777" w:rsidR="00AB09A7" w:rsidRPr="008E75FC" w:rsidRDefault="00AB09A7" w:rsidP="00775CE4">
            <w:pPr>
              <w:autoSpaceDE w:val="0"/>
              <w:autoSpaceDN w:val="0"/>
              <w:adjustRightInd w:val="0"/>
              <w:rPr>
                <w:rFonts w:asciiTheme="minorHAnsi" w:hAnsiTheme="minorHAnsi" w:cstheme="minorHAnsi"/>
                <w:sz w:val="22"/>
                <w:szCs w:val="24"/>
                <w:highlight w:val="yellow"/>
                <w:lang w:val="en-CA"/>
              </w:rPr>
            </w:pPr>
            <w:r w:rsidRPr="008E75FC">
              <w:rPr>
                <w:rFonts w:asciiTheme="minorHAnsi" w:hAnsiTheme="minorHAnsi" w:cstheme="minorHAnsi"/>
                <w:sz w:val="22"/>
                <w:szCs w:val="24"/>
                <w:lang w:val="en-CA"/>
              </w:rPr>
              <w:t>AS – Administrative Services</w:t>
            </w:r>
          </w:p>
        </w:tc>
        <w:tc>
          <w:tcPr>
            <w:tcW w:w="1576" w:type="pct"/>
          </w:tcPr>
          <w:p w14:paraId="0A7F30E1"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68</w:t>
            </w:r>
          </w:p>
        </w:tc>
        <w:tc>
          <w:tcPr>
            <w:tcW w:w="1850" w:type="pct"/>
          </w:tcPr>
          <w:p w14:paraId="4C82F0F1"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23%</w:t>
            </w:r>
          </w:p>
        </w:tc>
      </w:tr>
      <w:tr w:rsidR="00775CE4" w:rsidRPr="008E75FC" w14:paraId="45B715CA" w14:textId="77777777" w:rsidTr="0089643E">
        <w:trPr>
          <w:cantSplit/>
          <w:trHeight w:val="290"/>
          <w:tblHeader/>
          <w:jc w:val="center"/>
        </w:trPr>
        <w:tc>
          <w:tcPr>
            <w:tcW w:w="1574" w:type="pct"/>
          </w:tcPr>
          <w:p w14:paraId="11373A5A"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EC – Economics and Social Science Services</w:t>
            </w:r>
          </w:p>
        </w:tc>
        <w:tc>
          <w:tcPr>
            <w:tcW w:w="1576" w:type="pct"/>
          </w:tcPr>
          <w:p w14:paraId="0EC6567B"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67</w:t>
            </w:r>
          </w:p>
        </w:tc>
        <w:tc>
          <w:tcPr>
            <w:tcW w:w="1850" w:type="pct"/>
          </w:tcPr>
          <w:p w14:paraId="69F0609B"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22%</w:t>
            </w:r>
          </w:p>
        </w:tc>
      </w:tr>
      <w:tr w:rsidR="00775CE4" w:rsidRPr="008E75FC" w14:paraId="6EC6A879" w14:textId="77777777" w:rsidTr="0089643E">
        <w:trPr>
          <w:cantSplit/>
          <w:trHeight w:val="290"/>
          <w:tblHeader/>
          <w:jc w:val="center"/>
        </w:trPr>
        <w:tc>
          <w:tcPr>
            <w:tcW w:w="1574" w:type="pct"/>
          </w:tcPr>
          <w:p w14:paraId="1BCBCD69"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PM – Programme Administration</w:t>
            </w:r>
          </w:p>
        </w:tc>
        <w:tc>
          <w:tcPr>
            <w:tcW w:w="1576" w:type="pct"/>
          </w:tcPr>
          <w:p w14:paraId="7494059D"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36</w:t>
            </w:r>
          </w:p>
        </w:tc>
        <w:tc>
          <w:tcPr>
            <w:tcW w:w="1850" w:type="pct"/>
          </w:tcPr>
          <w:p w14:paraId="6DA85B62"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12%</w:t>
            </w:r>
          </w:p>
        </w:tc>
      </w:tr>
      <w:tr w:rsidR="00775CE4" w:rsidRPr="008E75FC" w14:paraId="5272FD02" w14:textId="77777777" w:rsidTr="0089643E">
        <w:trPr>
          <w:cantSplit/>
          <w:trHeight w:val="290"/>
          <w:tblHeader/>
          <w:jc w:val="center"/>
        </w:trPr>
        <w:tc>
          <w:tcPr>
            <w:tcW w:w="1574" w:type="pct"/>
          </w:tcPr>
          <w:p w14:paraId="563A1D1F"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CR – Clerical and Regulatory</w:t>
            </w:r>
          </w:p>
        </w:tc>
        <w:tc>
          <w:tcPr>
            <w:tcW w:w="1576" w:type="pct"/>
          </w:tcPr>
          <w:p w14:paraId="0E7C0F26"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34</w:t>
            </w:r>
          </w:p>
        </w:tc>
        <w:tc>
          <w:tcPr>
            <w:tcW w:w="1850" w:type="pct"/>
          </w:tcPr>
          <w:p w14:paraId="485DD2F6"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11%</w:t>
            </w:r>
          </w:p>
        </w:tc>
      </w:tr>
      <w:tr w:rsidR="00775CE4" w:rsidRPr="008E75FC" w14:paraId="7BA5814D" w14:textId="77777777" w:rsidTr="0089643E">
        <w:trPr>
          <w:cantSplit/>
          <w:trHeight w:val="290"/>
          <w:tblHeader/>
          <w:jc w:val="center"/>
        </w:trPr>
        <w:tc>
          <w:tcPr>
            <w:tcW w:w="1574" w:type="pct"/>
          </w:tcPr>
          <w:p w14:paraId="2061272C"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CS – Computer Systems</w:t>
            </w:r>
          </w:p>
        </w:tc>
        <w:tc>
          <w:tcPr>
            <w:tcW w:w="1576" w:type="pct"/>
          </w:tcPr>
          <w:p w14:paraId="4A28769C"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30</w:t>
            </w:r>
          </w:p>
        </w:tc>
        <w:tc>
          <w:tcPr>
            <w:tcW w:w="1850" w:type="pct"/>
          </w:tcPr>
          <w:p w14:paraId="0D5B1E49"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10%</w:t>
            </w:r>
          </w:p>
        </w:tc>
      </w:tr>
      <w:tr w:rsidR="00775CE4" w:rsidRPr="008E75FC" w14:paraId="300ACDDC" w14:textId="77777777" w:rsidTr="0089643E">
        <w:trPr>
          <w:cantSplit/>
          <w:trHeight w:val="70"/>
          <w:tblHeader/>
          <w:jc w:val="center"/>
        </w:trPr>
        <w:tc>
          <w:tcPr>
            <w:tcW w:w="1574" w:type="pct"/>
          </w:tcPr>
          <w:p w14:paraId="175E5C50"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Other</w:t>
            </w:r>
          </w:p>
        </w:tc>
        <w:tc>
          <w:tcPr>
            <w:tcW w:w="1576" w:type="pct"/>
          </w:tcPr>
          <w:p w14:paraId="1A082DED"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64</w:t>
            </w:r>
          </w:p>
        </w:tc>
        <w:tc>
          <w:tcPr>
            <w:tcW w:w="1850" w:type="pct"/>
          </w:tcPr>
          <w:p w14:paraId="46D68DCD"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21%</w:t>
            </w:r>
          </w:p>
        </w:tc>
      </w:tr>
      <w:tr w:rsidR="00775CE4" w:rsidRPr="008E75FC" w14:paraId="244E15B5" w14:textId="77777777" w:rsidTr="0089643E">
        <w:trPr>
          <w:cantSplit/>
          <w:trHeight w:val="290"/>
          <w:tblHeader/>
          <w:jc w:val="center"/>
        </w:trPr>
        <w:tc>
          <w:tcPr>
            <w:tcW w:w="1574" w:type="pct"/>
          </w:tcPr>
          <w:p w14:paraId="29884957"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Total</w:t>
            </w:r>
          </w:p>
        </w:tc>
        <w:tc>
          <w:tcPr>
            <w:tcW w:w="1576" w:type="pct"/>
          </w:tcPr>
          <w:p w14:paraId="6C724EF7"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299</w:t>
            </w:r>
          </w:p>
        </w:tc>
        <w:tc>
          <w:tcPr>
            <w:tcW w:w="1850" w:type="pct"/>
          </w:tcPr>
          <w:p w14:paraId="784C5B0E"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100%</w:t>
            </w:r>
          </w:p>
        </w:tc>
      </w:tr>
    </w:tbl>
    <w:p w14:paraId="029588BF" w14:textId="77777777" w:rsidR="00244BB9" w:rsidRPr="008E75FC" w:rsidRDefault="00244BB9" w:rsidP="00436220">
      <w:pPr>
        <w:tabs>
          <w:tab w:val="left" w:pos="7839"/>
        </w:tabs>
        <w:rPr>
          <w:rFonts w:asciiTheme="minorHAnsi" w:hAnsiTheme="minorHAnsi" w:cstheme="minorHAnsi"/>
          <w:noProof/>
          <w:lang w:val="en-CA" w:eastAsia="en-CA"/>
        </w:rPr>
      </w:pPr>
    </w:p>
    <w:p w14:paraId="0106F822" w14:textId="77777777" w:rsidR="00244BB9" w:rsidRPr="008E75FC" w:rsidRDefault="00244BB9" w:rsidP="00436220">
      <w:pPr>
        <w:tabs>
          <w:tab w:val="left" w:pos="7839"/>
        </w:tabs>
        <w:rPr>
          <w:rFonts w:asciiTheme="minorHAnsi" w:hAnsiTheme="minorHAnsi" w:cstheme="minorHAnsi"/>
          <w:noProof/>
          <w:lang w:val="en-CA" w:eastAsia="en-CA"/>
        </w:rPr>
        <w:sectPr w:rsidR="00244BB9" w:rsidRPr="008E75FC" w:rsidSect="002549B0">
          <w:pgSz w:w="15840" w:h="12240" w:orient="landscape"/>
          <w:pgMar w:top="1025" w:right="720" w:bottom="720" w:left="720" w:header="708" w:footer="708" w:gutter="0"/>
          <w:cols w:space="708"/>
          <w:titlePg/>
          <w:docGrid w:linePitch="360"/>
        </w:sectPr>
      </w:pPr>
    </w:p>
    <w:p w14:paraId="30CD1F87" w14:textId="65E78BCF" w:rsidR="00F703E0" w:rsidRPr="008E75FC" w:rsidRDefault="00775CE4" w:rsidP="00775CE4">
      <w:pPr>
        <w:pStyle w:val="Heading1"/>
        <w:spacing w:before="120" w:after="120"/>
        <w:rPr>
          <w:sz w:val="40"/>
          <w:lang w:val="en-CA"/>
        </w:rPr>
      </w:pPr>
      <w:r w:rsidRPr="008E75FC">
        <w:rPr>
          <w:sz w:val="40"/>
          <w:lang w:val="en-CA"/>
        </w:rPr>
        <w:lastRenderedPageBreak/>
        <w:t>Staffing by region</w:t>
      </w:r>
    </w:p>
    <w:p w14:paraId="1E539FD3" w14:textId="77777777" w:rsidR="00775CE4" w:rsidRPr="008E75FC" w:rsidRDefault="00244BB9" w:rsidP="00775CE4">
      <w:pPr>
        <w:keepNext/>
        <w:tabs>
          <w:tab w:val="left" w:pos="7839"/>
        </w:tabs>
        <w:jc w:val="center"/>
        <w:rPr>
          <w:lang w:val="en-CA"/>
        </w:rPr>
      </w:pPr>
      <w:r w:rsidRPr="008E75FC">
        <w:rPr>
          <w:rFonts w:asciiTheme="minorHAnsi" w:hAnsiTheme="minorHAnsi" w:cstheme="minorHAnsi"/>
          <w:noProof/>
          <w:lang w:val="en-CA" w:eastAsia="en-CA"/>
        </w:rPr>
        <w:drawing>
          <wp:inline distT="0" distB="0" distL="0" distR="0" wp14:anchorId="7DFFC126" wp14:editId="0AA2E5DB">
            <wp:extent cx="5648400" cy="3049200"/>
            <wp:effectExtent l="0" t="0" r="9525" b="18415"/>
            <wp:docPr id="6" name="Chart 6" descr="Staffing by reg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898F45B" w14:textId="27B30BE4" w:rsidR="00244BB9" w:rsidRPr="008E75FC" w:rsidRDefault="00775CE4" w:rsidP="00775CE4">
      <w:pPr>
        <w:pStyle w:val="Caption"/>
        <w:spacing w:after="0"/>
        <w:jc w:val="center"/>
        <w:rPr>
          <w:rFonts w:asciiTheme="minorHAnsi" w:hAnsiTheme="minorHAnsi" w:cstheme="minorHAnsi"/>
          <w:i w:val="0"/>
          <w:color w:val="auto"/>
          <w:lang w:val="en-CA"/>
        </w:rPr>
      </w:pPr>
      <w:r w:rsidRPr="008E75FC">
        <w:rPr>
          <w:rFonts w:asciiTheme="minorHAnsi" w:hAnsiTheme="minorHAnsi" w:cstheme="minorHAnsi"/>
          <w:i w:val="0"/>
          <w:color w:val="auto"/>
          <w:lang w:val="en-CA"/>
        </w:rPr>
        <w:t xml:space="preserve">Figure </w:t>
      </w:r>
      <w:r w:rsidRPr="008E75FC">
        <w:rPr>
          <w:rFonts w:asciiTheme="minorHAnsi" w:hAnsiTheme="minorHAnsi" w:cstheme="minorHAnsi"/>
          <w:i w:val="0"/>
          <w:color w:val="auto"/>
          <w:lang w:val="en-CA"/>
        </w:rPr>
        <w:fldChar w:fldCharType="begin"/>
      </w:r>
      <w:r w:rsidRPr="008E75FC">
        <w:rPr>
          <w:rFonts w:asciiTheme="minorHAnsi" w:hAnsiTheme="minorHAnsi" w:cstheme="minorHAnsi"/>
          <w:i w:val="0"/>
          <w:color w:val="auto"/>
          <w:lang w:val="en-CA"/>
        </w:rPr>
        <w:instrText xml:space="preserve"> SEQ Figure \* ARABIC </w:instrText>
      </w:r>
      <w:r w:rsidRPr="008E75FC">
        <w:rPr>
          <w:rFonts w:asciiTheme="minorHAnsi" w:hAnsiTheme="minorHAnsi" w:cstheme="minorHAnsi"/>
          <w:i w:val="0"/>
          <w:color w:val="auto"/>
          <w:lang w:val="en-CA"/>
        </w:rPr>
        <w:fldChar w:fldCharType="separate"/>
      </w:r>
      <w:r w:rsidR="00C57B8B" w:rsidRPr="008E75FC">
        <w:rPr>
          <w:rFonts w:asciiTheme="minorHAnsi" w:hAnsiTheme="minorHAnsi" w:cstheme="minorHAnsi"/>
          <w:i w:val="0"/>
          <w:noProof/>
          <w:color w:val="auto"/>
          <w:lang w:val="en-CA"/>
        </w:rPr>
        <w:t>6</w:t>
      </w:r>
      <w:r w:rsidRPr="008E75FC">
        <w:rPr>
          <w:rFonts w:asciiTheme="minorHAnsi" w:hAnsiTheme="minorHAnsi" w:cstheme="minorHAnsi"/>
          <w:i w:val="0"/>
          <w:color w:val="auto"/>
          <w:lang w:val="en-CA"/>
        </w:rPr>
        <w:fldChar w:fldCharType="end"/>
      </w:r>
      <w:r w:rsidRPr="008E75FC">
        <w:rPr>
          <w:rFonts w:asciiTheme="minorHAnsi" w:hAnsiTheme="minorHAnsi" w:cstheme="minorHAnsi"/>
          <w:i w:val="0"/>
          <w:color w:val="auto"/>
          <w:lang w:val="en-CA"/>
        </w:rPr>
        <w:t xml:space="preserve"> - Staffing by region</w:t>
      </w:r>
    </w:p>
    <w:p w14:paraId="63FEBD7C" w14:textId="467563E6" w:rsidR="00775CE4" w:rsidRPr="008E75FC" w:rsidRDefault="00775CE4" w:rsidP="00775CE4">
      <w:pPr>
        <w:pStyle w:val="Caption"/>
        <w:keepNext/>
        <w:spacing w:before="240" w:after="0"/>
        <w:jc w:val="center"/>
        <w:rPr>
          <w:rFonts w:asciiTheme="minorHAnsi" w:hAnsiTheme="minorHAnsi" w:cstheme="minorHAnsi"/>
          <w:i w:val="0"/>
          <w:color w:val="auto"/>
          <w:lang w:val="en-CA"/>
        </w:rPr>
      </w:pPr>
      <w:r w:rsidRPr="008E75FC">
        <w:rPr>
          <w:rFonts w:asciiTheme="minorHAnsi" w:hAnsiTheme="minorHAnsi" w:cstheme="minorHAnsi"/>
          <w:i w:val="0"/>
          <w:color w:val="auto"/>
          <w:lang w:val="en-CA"/>
        </w:rPr>
        <w:t xml:space="preserve">Table </w:t>
      </w:r>
      <w:r w:rsidRPr="008E75FC">
        <w:rPr>
          <w:rFonts w:asciiTheme="minorHAnsi" w:hAnsiTheme="minorHAnsi" w:cstheme="minorHAnsi"/>
          <w:i w:val="0"/>
          <w:color w:val="auto"/>
          <w:lang w:val="en-CA"/>
        </w:rPr>
        <w:fldChar w:fldCharType="begin"/>
      </w:r>
      <w:r w:rsidRPr="008E75FC">
        <w:rPr>
          <w:rFonts w:asciiTheme="minorHAnsi" w:hAnsiTheme="minorHAnsi" w:cstheme="minorHAnsi"/>
          <w:i w:val="0"/>
          <w:color w:val="auto"/>
          <w:lang w:val="en-CA"/>
        </w:rPr>
        <w:instrText xml:space="preserve"> SEQ Table \* ARABIC </w:instrText>
      </w:r>
      <w:r w:rsidRPr="008E75FC">
        <w:rPr>
          <w:rFonts w:asciiTheme="minorHAnsi" w:hAnsiTheme="minorHAnsi" w:cstheme="minorHAnsi"/>
          <w:i w:val="0"/>
          <w:color w:val="auto"/>
          <w:lang w:val="en-CA"/>
        </w:rPr>
        <w:fldChar w:fldCharType="separate"/>
      </w:r>
      <w:r w:rsidR="006632C2" w:rsidRPr="008E75FC">
        <w:rPr>
          <w:rFonts w:asciiTheme="minorHAnsi" w:hAnsiTheme="minorHAnsi" w:cstheme="minorHAnsi"/>
          <w:i w:val="0"/>
          <w:noProof/>
          <w:color w:val="auto"/>
          <w:lang w:val="en-CA"/>
        </w:rPr>
        <w:t>9</w:t>
      </w:r>
      <w:r w:rsidRPr="008E75FC">
        <w:rPr>
          <w:rFonts w:asciiTheme="minorHAnsi" w:hAnsiTheme="minorHAnsi" w:cstheme="minorHAnsi"/>
          <w:i w:val="0"/>
          <w:color w:val="auto"/>
          <w:lang w:val="en-CA"/>
        </w:rPr>
        <w:fldChar w:fldCharType="end"/>
      </w:r>
      <w:r w:rsidRPr="008E75FC">
        <w:rPr>
          <w:rFonts w:asciiTheme="minorHAnsi" w:hAnsiTheme="minorHAnsi" w:cstheme="minorHAnsi"/>
          <w:i w:val="0"/>
          <w:color w:val="auto"/>
          <w:lang w:val="en-CA"/>
        </w:rPr>
        <w:t xml:space="preserve"> - Percentage of staffing activities in the National Capital Region compared with all other regions by fiscal year</w:t>
      </w:r>
    </w:p>
    <w:tbl>
      <w:tblPr>
        <w:tblStyle w:val="TableGrid"/>
        <w:tblW w:w="5000" w:type="pct"/>
        <w:jc w:val="center"/>
        <w:tblLook w:val="0020" w:firstRow="1" w:lastRow="0" w:firstColumn="0" w:lastColumn="0" w:noHBand="0" w:noVBand="0"/>
        <w:tblDescription w:val="Staffing by region from 2015 to 2020"/>
      </w:tblPr>
      <w:tblGrid>
        <w:gridCol w:w="2190"/>
        <w:gridCol w:w="6027"/>
        <w:gridCol w:w="6173"/>
      </w:tblGrid>
      <w:tr w:rsidR="00775CE4" w:rsidRPr="008E75FC" w14:paraId="12E770F1" w14:textId="77777777" w:rsidTr="0089643E">
        <w:trPr>
          <w:cantSplit/>
          <w:trHeight w:val="290"/>
          <w:tblHeader/>
          <w:jc w:val="center"/>
        </w:trPr>
        <w:tc>
          <w:tcPr>
            <w:tcW w:w="761" w:type="pct"/>
          </w:tcPr>
          <w:p w14:paraId="0951CF22" w14:textId="77777777" w:rsidR="00AB09A7" w:rsidRPr="008E75FC" w:rsidRDefault="00AB09A7" w:rsidP="00775CE4">
            <w:pPr>
              <w:pStyle w:val="TableTitle"/>
              <w:rPr>
                <w:color w:val="auto"/>
                <w:sz w:val="22"/>
                <w:lang w:val="en-CA"/>
              </w:rPr>
            </w:pPr>
            <w:r w:rsidRPr="008E75FC">
              <w:rPr>
                <w:color w:val="auto"/>
                <w:sz w:val="22"/>
                <w:lang w:val="en-CA"/>
              </w:rPr>
              <w:t>Fiscal year</w:t>
            </w:r>
          </w:p>
        </w:tc>
        <w:tc>
          <w:tcPr>
            <w:tcW w:w="2094" w:type="pct"/>
          </w:tcPr>
          <w:p w14:paraId="228405F3" w14:textId="77777777" w:rsidR="00AB09A7" w:rsidRPr="008E75FC" w:rsidRDefault="00AB09A7" w:rsidP="00775CE4">
            <w:pPr>
              <w:pStyle w:val="TableTitle"/>
              <w:rPr>
                <w:color w:val="auto"/>
                <w:sz w:val="22"/>
                <w:lang w:val="en-CA"/>
              </w:rPr>
            </w:pPr>
            <w:r w:rsidRPr="008E75FC">
              <w:rPr>
                <w:color w:val="auto"/>
                <w:sz w:val="22"/>
                <w:lang w:val="en-CA"/>
              </w:rPr>
              <w:t>Percentage of staffing activities in the National Capital Region (NCR)</w:t>
            </w:r>
          </w:p>
        </w:tc>
        <w:tc>
          <w:tcPr>
            <w:tcW w:w="2145" w:type="pct"/>
          </w:tcPr>
          <w:p w14:paraId="3DE4F067" w14:textId="77777777" w:rsidR="00AB09A7" w:rsidRPr="008E75FC" w:rsidRDefault="00AB09A7" w:rsidP="00775CE4">
            <w:pPr>
              <w:pStyle w:val="TableTitle"/>
              <w:rPr>
                <w:color w:val="auto"/>
                <w:sz w:val="22"/>
                <w:lang w:val="en-CA"/>
              </w:rPr>
            </w:pPr>
            <w:r w:rsidRPr="008E75FC">
              <w:rPr>
                <w:color w:val="auto"/>
                <w:sz w:val="22"/>
                <w:lang w:val="en-CA"/>
              </w:rPr>
              <w:t>Percentage of staffing activities in all other regions (Non-NCR)</w:t>
            </w:r>
          </w:p>
        </w:tc>
      </w:tr>
      <w:tr w:rsidR="00775CE4" w:rsidRPr="008E75FC" w14:paraId="4A9A799F" w14:textId="77777777" w:rsidTr="0089643E">
        <w:trPr>
          <w:cantSplit/>
          <w:trHeight w:val="290"/>
          <w:tblHeader/>
          <w:jc w:val="center"/>
        </w:trPr>
        <w:tc>
          <w:tcPr>
            <w:tcW w:w="761" w:type="pct"/>
          </w:tcPr>
          <w:p w14:paraId="53E49901"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2015 to 2016</w:t>
            </w:r>
          </w:p>
        </w:tc>
        <w:tc>
          <w:tcPr>
            <w:tcW w:w="2094" w:type="pct"/>
          </w:tcPr>
          <w:p w14:paraId="03CE91D6"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55%</w:t>
            </w:r>
          </w:p>
        </w:tc>
        <w:tc>
          <w:tcPr>
            <w:tcW w:w="2145" w:type="pct"/>
          </w:tcPr>
          <w:p w14:paraId="26BD6362"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45%</w:t>
            </w:r>
          </w:p>
        </w:tc>
      </w:tr>
      <w:tr w:rsidR="00775CE4" w:rsidRPr="008E75FC" w14:paraId="35981360" w14:textId="77777777" w:rsidTr="0089643E">
        <w:trPr>
          <w:cantSplit/>
          <w:trHeight w:val="290"/>
          <w:tblHeader/>
          <w:jc w:val="center"/>
        </w:trPr>
        <w:tc>
          <w:tcPr>
            <w:tcW w:w="761" w:type="pct"/>
          </w:tcPr>
          <w:p w14:paraId="2338AC7E"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2016 to 2017</w:t>
            </w:r>
          </w:p>
        </w:tc>
        <w:tc>
          <w:tcPr>
            <w:tcW w:w="2094" w:type="pct"/>
          </w:tcPr>
          <w:p w14:paraId="503E2E8C"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56%</w:t>
            </w:r>
          </w:p>
        </w:tc>
        <w:tc>
          <w:tcPr>
            <w:tcW w:w="2145" w:type="pct"/>
          </w:tcPr>
          <w:p w14:paraId="7C8C835A"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44%</w:t>
            </w:r>
          </w:p>
        </w:tc>
      </w:tr>
      <w:tr w:rsidR="00775CE4" w:rsidRPr="008E75FC" w14:paraId="62D833E3" w14:textId="77777777" w:rsidTr="0089643E">
        <w:trPr>
          <w:cantSplit/>
          <w:trHeight w:val="290"/>
          <w:tblHeader/>
          <w:jc w:val="center"/>
        </w:trPr>
        <w:tc>
          <w:tcPr>
            <w:tcW w:w="761" w:type="pct"/>
          </w:tcPr>
          <w:p w14:paraId="262C1122"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2017 to 2018</w:t>
            </w:r>
          </w:p>
        </w:tc>
        <w:tc>
          <w:tcPr>
            <w:tcW w:w="2094" w:type="pct"/>
          </w:tcPr>
          <w:p w14:paraId="039A153B"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55%</w:t>
            </w:r>
          </w:p>
        </w:tc>
        <w:tc>
          <w:tcPr>
            <w:tcW w:w="2145" w:type="pct"/>
          </w:tcPr>
          <w:p w14:paraId="492D1DAC"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45%</w:t>
            </w:r>
          </w:p>
        </w:tc>
      </w:tr>
      <w:tr w:rsidR="00775CE4" w:rsidRPr="008E75FC" w14:paraId="0DE50F7E" w14:textId="77777777" w:rsidTr="0089643E">
        <w:trPr>
          <w:cantSplit/>
          <w:trHeight w:val="290"/>
          <w:tblHeader/>
          <w:jc w:val="center"/>
        </w:trPr>
        <w:tc>
          <w:tcPr>
            <w:tcW w:w="761" w:type="pct"/>
          </w:tcPr>
          <w:p w14:paraId="1B4B7498"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2018 to 2019</w:t>
            </w:r>
          </w:p>
        </w:tc>
        <w:tc>
          <w:tcPr>
            <w:tcW w:w="2094" w:type="pct"/>
          </w:tcPr>
          <w:p w14:paraId="38C498A0"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62%</w:t>
            </w:r>
          </w:p>
        </w:tc>
        <w:tc>
          <w:tcPr>
            <w:tcW w:w="2145" w:type="pct"/>
          </w:tcPr>
          <w:p w14:paraId="69200ECF"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38%</w:t>
            </w:r>
          </w:p>
        </w:tc>
      </w:tr>
      <w:tr w:rsidR="00775CE4" w:rsidRPr="008E75FC" w14:paraId="50E05B1E" w14:textId="77777777" w:rsidTr="0089643E">
        <w:trPr>
          <w:cantSplit/>
          <w:trHeight w:val="290"/>
          <w:tblHeader/>
          <w:jc w:val="center"/>
        </w:trPr>
        <w:tc>
          <w:tcPr>
            <w:tcW w:w="761" w:type="pct"/>
          </w:tcPr>
          <w:p w14:paraId="279004A8"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2019 to 2020</w:t>
            </w:r>
          </w:p>
        </w:tc>
        <w:tc>
          <w:tcPr>
            <w:tcW w:w="2094" w:type="pct"/>
          </w:tcPr>
          <w:p w14:paraId="5B0F5721"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62%</w:t>
            </w:r>
          </w:p>
        </w:tc>
        <w:tc>
          <w:tcPr>
            <w:tcW w:w="2145" w:type="pct"/>
          </w:tcPr>
          <w:p w14:paraId="768E6C5E"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38%</w:t>
            </w:r>
          </w:p>
        </w:tc>
      </w:tr>
    </w:tbl>
    <w:p w14:paraId="7F9C6F74" w14:textId="202451CA" w:rsidR="00244BB9" w:rsidRPr="008E75FC" w:rsidRDefault="00AB09A7" w:rsidP="00775CE4">
      <w:pPr>
        <w:pStyle w:val="ListParagraph"/>
        <w:numPr>
          <w:ilvl w:val="0"/>
          <w:numId w:val="23"/>
        </w:numPr>
        <w:spacing w:after="100" w:afterAutospacing="1"/>
        <w:contextualSpacing w:val="0"/>
        <w:rPr>
          <w:rFonts w:asciiTheme="minorHAnsi" w:hAnsiTheme="minorHAnsi" w:cstheme="minorHAnsi"/>
          <w:sz w:val="22"/>
          <w:lang w:val="en-CA"/>
        </w:rPr>
      </w:pPr>
      <w:r w:rsidRPr="008E75FC">
        <w:rPr>
          <w:rFonts w:asciiTheme="minorHAnsi" w:hAnsiTheme="minorHAnsi" w:cstheme="minorHAnsi"/>
          <w:sz w:val="22"/>
          <w:lang w:val="en-CA"/>
        </w:rPr>
        <w:t>Regional distribution excludes unknowns</w:t>
      </w:r>
    </w:p>
    <w:p w14:paraId="33457952" w14:textId="77777777" w:rsidR="00244BB9" w:rsidRPr="008E75FC" w:rsidRDefault="00244BB9" w:rsidP="00436220">
      <w:pPr>
        <w:tabs>
          <w:tab w:val="left" w:pos="7839"/>
        </w:tabs>
        <w:rPr>
          <w:rFonts w:asciiTheme="minorHAnsi" w:hAnsiTheme="minorHAnsi" w:cstheme="minorHAnsi"/>
          <w:lang w:val="en-CA"/>
        </w:rPr>
        <w:sectPr w:rsidR="00244BB9" w:rsidRPr="008E75FC" w:rsidSect="002549B0">
          <w:pgSz w:w="15840" w:h="12240" w:orient="landscape"/>
          <w:pgMar w:top="1025" w:right="720" w:bottom="720" w:left="720" w:header="708" w:footer="708" w:gutter="0"/>
          <w:cols w:space="708"/>
          <w:titlePg/>
          <w:docGrid w:linePitch="360"/>
        </w:sectPr>
      </w:pPr>
    </w:p>
    <w:p w14:paraId="4878FC2D" w14:textId="77777777" w:rsidR="00775CE4" w:rsidRPr="00F4758D" w:rsidRDefault="00775CE4" w:rsidP="00775CE4">
      <w:pPr>
        <w:pStyle w:val="Heading1"/>
        <w:spacing w:before="120" w:after="120"/>
        <w:rPr>
          <w:sz w:val="40"/>
          <w:lang w:val="en-CA"/>
        </w:rPr>
      </w:pPr>
      <w:r w:rsidRPr="00F4758D">
        <w:rPr>
          <w:rFonts w:eastAsia="Times New Roman"/>
          <w:sz w:val="40"/>
          <w:lang w:val="en-CA"/>
        </w:rPr>
        <w:lastRenderedPageBreak/>
        <w:t>Staffing by process type</w:t>
      </w:r>
    </w:p>
    <w:p w14:paraId="3F9329C9" w14:textId="77777777" w:rsidR="00775CE4" w:rsidRPr="008E75FC" w:rsidRDefault="00244BB9" w:rsidP="00775CE4">
      <w:pPr>
        <w:keepNext/>
        <w:tabs>
          <w:tab w:val="left" w:pos="7839"/>
        </w:tabs>
        <w:jc w:val="center"/>
        <w:rPr>
          <w:lang w:val="en-CA"/>
        </w:rPr>
      </w:pPr>
      <w:r w:rsidRPr="008E75FC">
        <w:rPr>
          <w:rFonts w:asciiTheme="minorHAnsi" w:hAnsiTheme="minorHAnsi" w:cstheme="minorHAnsi"/>
          <w:noProof/>
          <w:lang w:val="en-CA" w:eastAsia="en-CA"/>
        </w:rPr>
        <w:drawing>
          <wp:inline distT="0" distB="0" distL="0" distR="0" wp14:anchorId="1C1804BA" wp14:editId="3FEF6286">
            <wp:extent cx="5648400" cy="3049200"/>
            <wp:effectExtent l="0" t="0" r="9525" b="18415"/>
            <wp:docPr id="1" name="Chart 1" descr="Staffing by process type&#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9807417" w14:textId="574CAAEC" w:rsidR="00244BB9" w:rsidRPr="008E75FC" w:rsidRDefault="00775CE4" w:rsidP="00775CE4">
      <w:pPr>
        <w:pStyle w:val="Caption"/>
        <w:spacing w:after="0"/>
        <w:jc w:val="center"/>
        <w:rPr>
          <w:rFonts w:asciiTheme="minorHAnsi" w:hAnsiTheme="minorHAnsi" w:cstheme="minorHAnsi"/>
          <w:i w:val="0"/>
          <w:color w:val="auto"/>
          <w:lang w:val="en-CA"/>
        </w:rPr>
      </w:pPr>
      <w:r w:rsidRPr="008E75FC">
        <w:rPr>
          <w:rFonts w:asciiTheme="minorHAnsi" w:hAnsiTheme="minorHAnsi" w:cstheme="minorHAnsi"/>
          <w:i w:val="0"/>
          <w:color w:val="auto"/>
          <w:lang w:val="en-CA"/>
        </w:rPr>
        <w:t xml:space="preserve">Figure </w:t>
      </w:r>
      <w:r w:rsidRPr="008E75FC">
        <w:rPr>
          <w:rFonts w:asciiTheme="minorHAnsi" w:hAnsiTheme="minorHAnsi" w:cstheme="minorHAnsi"/>
          <w:i w:val="0"/>
          <w:color w:val="auto"/>
          <w:lang w:val="en-CA"/>
        </w:rPr>
        <w:fldChar w:fldCharType="begin"/>
      </w:r>
      <w:r w:rsidRPr="008E75FC">
        <w:rPr>
          <w:rFonts w:asciiTheme="minorHAnsi" w:hAnsiTheme="minorHAnsi" w:cstheme="minorHAnsi"/>
          <w:i w:val="0"/>
          <w:color w:val="auto"/>
          <w:lang w:val="en-CA"/>
        </w:rPr>
        <w:instrText xml:space="preserve"> SEQ Figure \* ARABIC </w:instrText>
      </w:r>
      <w:r w:rsidRPr="008E75FC">
        <w:rPr>
          <w:rFonts w:asciiTheme="minorHAnsi" w:hAnsiTheme="minorHAnsi" w:cstheme="minorHAnsi"/>
          <w:i w:val="0"/>
          <w:color w:val="auto"/>
          <w:lang w:val="en-CA"/>
        </w:rPr>
        <w:fldChar w:fldCharType="separate"/>
      </w:r>
      <w:r w:rsidR="00C57B8B" w:rsidRPr="008E75FC">
        <w:rPr>
          <w:rFonts w:asciiTheme="minorHAnsi" w:hAnsiTheme="minorHAnsi" w:cstheme="minorHAnsi"/>
          <w:i w:val="0"/>
          <w:noProof/>
          <w:color w:val="auto"/>
          <w:lang w:val="en-CA"/>
        </w:rPr>
        <w:t>7</w:t>
      </w:r>
      <w:r w:rsidRPr="008E75FC">
        <w:rPr>
          <w:rFonts w:asciiTheme="minorHAnsi" w:hAnsiTheme="minorHAnsi" w:cstheme="minorHAnsi"/>
          <w:i w:val="0"/>
          <w:color w:val="auto"/>
          <w:lang w:val="en-CA"/>
        </w:rPr>
        <w:fldChar w:fldCharType="end"/>
      </w:r>
      <w:r w:rsidRPr="008E75FC">
        <w:rPr>
          <w:rFonts w:asciiTheme="minorHAnsi" w:hAnsiTheme="minorHAnsi" w:cstheme="minorHAnsi"/>
          <w:i w:val="0"/>
          <w:color w:val="auto"/>
          <w:lang w:val="en-CA"/>
        </w:rPr>
        <w:t xml:space="preserve"> - Staffing by process type</w:t>
      </w:r>
    </w:p>
    <w:p w14:paraId="1EE83BE7" w14:textId="7B45288A" w:rsidR="00775CE4" w:rsidRPr="008E75FC" w:rsidRDefault="00775CE4" w:rsidP="00775CE4">
      <w:pPr>
        <w:pStyle w:val="Caption"/>
        <w:keepNext/>
        <w:spacing w:before="240" w:after="0"/>
        <w:jc w:val="center"/>
        <w:rPr>
          <w:rFonts w:asciiTheme="minorHAnsi" w:hAnsiTheme="minorHAnsi" w:cstheme="minorHAnsi"/>
          <w:i w:val="0"/>
          <w:color w:val="auto"/>
          <w:lang w:val="en-CA"/>
        </w:rPr>
      </w:pPr>
      <w:r w:rsidRPr="008E75FC">
        <w:rPr>
          <w:rFonts w:asciiTheme="minorHAnsi" w:hAnsiTheme="minorHAnsi" w:cstheme="minorHAnsi"/>
          <w:i w:val="0"/>
          <w:color w:val="auto"/>
          <w:lang w:val="en-CA"/>
        </w:rPr>
        <w:t xml:space="preserve">Table </w:t>
      </w:r>
      <w:r w:rsidRPr="008E75FC">
        <w:rPr>
          <w:rFonts w:asciiTheme="minorHAnsi" w:hAnsiTheme="minorHAnsi" w:cstheme="minorHAnsi"/>
          <w:i w:val="0"/>
          <w:color w:val="auto"/>
          <w:lang w:val="en-CA"/>
        </w:rPr>
        <w:fldChar w:fldCharType="begin"/>
      </w:r>
      <w:r w:rsidRPr="008E75FC">
        <w:rPr>
          <w:rFonts w:asciiTheme="minorHAnsi" w:hAnsiTheme="minorHAnsi" w:cstheme="minorHAnsi"/>
          <w:i w:val="0"/>
          <w:color w:val="auto"/>
          <w:lang w:val="en-CA"/>
        </w:rPr>
        <w:instrText xml:space="preserve"> SEQ Table \* ARABIC </w:instrText>
      </w:r>
      <w:r w:rsidRPr="008E75FC">
        <w:rPr>
          <w:rFonts w:asciiTheme="minorHAnsi" w:hAnsiTheme="minorHAnsi" w:cstheme="minorHAnsi"/>
          <w:i w:val="0"/>
          <w:color w:val="auto"/>
          <w:lang w:val="en-CA"/>
        </w:rPr>
        <w:fldChar w:fldCharType="separate"/>
      </w:r>
      <w:r w:rsidR="006632C2" w:rsidRPr="008E75FC">
        <w:rPr>
          <w:rFonts w:asciiTheme="minorHAnsi" w:hAnsiTheme="minorHAnsi" w:cstheme="minorHAnsi"/>
          <w:i w:val="0"/>
          <w:noProof/>
          <w:color w:val="auto"/>
          <w:lang w:val="en-CA"/>
        </w:rPr>
        <w:t>10</w:t>
      </w:r>
      <w:r w:rsidRPr="008E75FC">
        <w:rPr>
          <w:rFonts w:asciiTheme="minorHAnsi" w:hAnsiTheme="minorHAnsi" w:cstheme="minorHAnsi"/>
          <w:i w:val="0"/>
          <w:color w:val="auto"/>
          <w:lang w:val="en-CA"/>
        </w:rPr>
        <w:fldChar w:fldCharType="end"/>
      </w:r>
      <w:r w:rsidRPr="008E75FC">
        <w:rPr>
          <w:rFonts w:asciiTheme="minorHAnsi" w:hAnsiTheme="minorHAnsi" w:cstheme="minorHAnsi"/>
          <w:i w:val="0"/>
          <w:color w:val="auto"/>
          <w:lang w:val="en-CA"/>
        </w:rPr>
        <w:t xml:space="preserve"> - Number and percentage of staffing activities by type of process and fiscal year</w:t>
      </w:r>
    </w:p>
    <w:tbl>
      <w:tblPr>
        <w:tblStyle w:val="TableGrid"/>
        <w:tblW w:w="5000" w:type="pct"/>
        <w:jc w:val="center"/>
        <w:tblLook w:val="0020" w:firstRow="1" w:lastRow="0" w:firstColumn="0" w:lastColumn="0" w:noHBand="0" w:noVBand="0"/>
        <w:tblDescription w:val="Staffing by process type from 2015 to 2020"/>
      </w:tblPr>
      <w:tblGrid>
        <w:gridCol w:w="5293"/>
        <w:gridCol w:w="4190"/>
        <w:gridCol w:w="2397"/>
        <w:gridCol w:w="2510"/>
      </w:tblGrid>
      <w:tr w:rsidR="00775CE4" w:rsidRPr="008E75FC" w14:paraId="02633A47" w14:textId="77777777" w:rsidTr="0089643E">
        <w:trPr>
          <w:cantSplit/>
          <w:trHeight w:val="290"/>
          <w:tblHeader/>
          <w:jc w:val="center"/>
        </w:trPr>
        <w:tc>
          <w:tcPr>
            <w:tcW w:w="1839" w:type="pct"/>
          </w:tcPr>
          <w:p w14:paraId="25C1B384" w14:textId="77777777" w:rsidR="00AB09A7" w:rsidRPr="00F4758D" w:rsidRDefault="00AB09A7" w:rsidP="00775CE4">
            <w:pPr>
              <w:pStyle w:val="TableTitle"/>
              <w:rPr>
                <w:rFonts w:cs="Segoe UI Semibold"/>
                <w:color w:val="auto"/>
                <w:sz w:val="22"/>
                <w:lang w:val="en-CA"/>
              </w:rPr>
            </w:pPr>
            <w:r w:rsidRPr="00F4758D">
              <w:rPr>
                <w:rFonts w:cs="Segoe UI Semibold"/>
                <w:color w:val="auto"/>
                <w:sz w:val="22"/>
                <w:lang w:val="en-CA"/>
              </w:rPr>
              <w:t>Fiscal year</w:t>
            </w:r>
          </w:p>
        </w:tc>
        <w:tc>
          <w:tcPr>
            <w:tcW w:w="1456" w:type="pct"/>
          </w:tcPr>
          <w:p w14:paraId="1310A0EE" w14:textId="77777777" w:rsidR="00AB09A7" w:rsidRPr="00F4758D" w:rsidRDefault="00AB09A7" w:rsidP="00775CE4">
            <w:pPr>
              <w:pStyle w:val="TableTitle"/>
              <w:rPr>
                <w:rFonts w:cs="Segoe UI Semibold"/>
                <w:color w:val="auto"/>
                <w:sz w:val="22"/>
                <w:lang w:val="en-CA"/>
              </w:rPr>
            </w:pPr>
            <w:r w:rsidRPr="00F4758D">
              <w:rPr>
                <w:rFonts w:cs="Segoe UI Semibold"/>
                <w:color w:val="auto"/>
                <w:sz w:val="22"/>
                <w:lang w:val="en-CA"/>
              </w:rPr>
              <w:t>Non-advertised processes (excludes unknowns)</w:t>
            </w:r>
          </w:p>
        </w:tc>
        <w:tc>
          <w:tcPr>
            <w:tcW w:w="833" w:type="pct"/>
          </w:tcPr>
          <w:p w14:paraId="7FFA72FE" w14:textId="77777777" w:rsidR="00AB09A7" w:rsidRPr="00F4758D" w:rsidRDefault="00AB09A7" w:rsidP="00775CE4">
            <w:pPr>
              <w:pStyle w:val="TableTitle"/>
              <w:rPr>
                <w:rFonts w:cs="Segoe UI Semibold"/>
                <w:color w:val="auto"/>
                <w:sz w:val="22"/>
                <w:lang w:val="en-CA"/>
              </w:rPr>
            </w:pPr>
            <w:r w:rsidRPr="00F4758D">
              <w:rPr>
                <w:rFonts w:cs="Segoe UI Semibold"/>
                <w:color w:val="auto"/>
                <w:sz w:val="22"/>
                <w:lang w:val="en-CA"/>
              </w:rPr>
              <w:t>Advertised processes</w:t>
            </w:r>
          </w:p>
        </w:tc>
        <w:tc>
          <w:tcPr>
            <w:tcW w:w="872" w:type="pct"/>
          </w:tcPr>
          <w:p w14:paraId="461A84BE" w14:textId="77777777" w:rsidR="00AB09A7" w:rsidRPr="00F4758D" w:rsidRDefault="00AB09A7" w:rsidP="00775CE4">
            <w:pPr>
              <w:pStyle w:val="TableTitle"/>
              <w:rPr>
                <w:rFonts w:cs="Segoe UI Semibold"/>
                <w:color w:val="auto"/>
                <w:sz w:val="22"/>
                <w:lang w:val="en-CA"/>
              </w:rPr>
            </w:pPr>
            <w:r w:rsidRPr="00F4758D">
              <w:rPr>
                <w:rFonts w:cs="Segoe UI Semibold"/>
                <w:color w:val="auto"/>
                <w:sz w:val="22"/>
                <w:lang w:val="en-CA"/>
              </w:rPr>
              <w:t>% of Non- advertised processes</w:t>
            </w:r>
          </w:p>
        </w:tc>
      </w:tr>
      <w:tr w:rsidR="00775CE4" w:rsidRPr="008E75FC" w14:paraId="7DD9EFC0" w14:textId="77777777" w:rsidTr="0089643E">
        <w:trPr>
          <w:cantSplit/>
          <w:trHeight w:val="290"/>
          <w:tblHeader/>
          <w:jc w:val="center"/>
        </w:trPr>
        <w:tc>
          <w:tcPr>
            <w:tcW w:w="1839" w:type="pct"/>
          </w:tcPr>
          <w:p w14:paraId="33BF73AF"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 xml:space="preserve">2015 to 2016 </w:t>
            </w:r>
          </w:p>
        </w:tc>
        <w:tc>
          <w:tcPr>
            <w:tcW w:w="1456" w:type="pct"/>
          </w:tcPr>
          <w:p w14:paraId="52C5DBC3"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152</w:t>
            </w:r>
          </w:p>
        </w:tc>
        <w:tc>
          <w:tcPr>
            <w:tcW w:w="833" w:type="pct"/>
          </w:tcPr>
          <w:p w14:paraId="0B8CBADC"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374</w:t>
            </w:r>
          </w:p>
        </w:tc>
        <w:tc>
          <w:tcPr>
            <w:tcW w:w="872" w:type="pct"/>
          </w:tcPr>
          <w:p w14:paraId="30E9366E"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29%</w:t>
            </w:r>
          </w:p>
        </w:tc>
      </w:tr>
      <w:tr w:rsidR="00775CE4" w:rsidRPr="008E75FC" w14:paraId="6BF118EA" w14:textId="77777777" w:rsidTr="0089643E">
        <w:trPr>
          <w:cantSplit/>
          <w:trHeight w:val="290"/>
          <w:tblHeader/>
          <w:jc w:val="center"/>
        </w:trPr>
        <w:tc>
          <w:tcPr>
            <w:tcW w:w="1839" w:type="pct"/>
          </w:tcPr>
          <w:p w14:paraId="2CCF9821"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2016 to 2017</w:t>
            </w:r>
          </w:p>
        </w:tc>
        <w:tc>
          <w:tcPr>
            <w:tcW w:w="1456" w:type="pct"/>
          </w:tcPr>
          <w:p w14:paraId="330BFBBC"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247</w:t>
            </w:r>
          </w:p>
        </w:tc>
        <w:tc>
          <w:tcPr>
            <w:tcW w:w="833" w:type="pct"/>
          </w:tcPr>
          <w:p w14:paraId="6DC53BA7"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564</w:t>
            </w:r>
          </w:p>
        </w:tc>
        <w:tc>
          <w:tcPr>
            <w:tcW w:w="872" w:type="pct"/>
          </w:tcPr>
          <w:p w14:paraId="428E6623"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30%</w:t>
            </w:r>
          </w:p>
        </w:tc>
      </w:tr>
      <w:tr w:rsidR="00775CE4" w:rsidRPr="008E75FC" w14:paraId="2DBD5D92" w14:textId="77777777" w:rsidTr="0089643E">
        <w:trPr>
          <w:cantSplit/>
          <w:trHeight w:val="290"/>
          <w:tblHeader/>
          <w:jc w:val="center"/>
        </w:trPr>
        <w:tc>
          <w:tcPr>
            <w:tcW w:w="1839" w:type="pct"/>
          </w:tcPr>
          <w:p w14:paraId="1B55BECC"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2017 to 2018</w:t>
            </w:r>
          </w:p>
        </w:tc>
        <w:tc>
          <w:tcPr>
            <w:tcW w:w="1456" w:type="pct"/>
          </w:tcPr>
          <w:p w14:paraId="43856044"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532</w:t>
            </w:r>
          </w:p>
        </w:tc>
        <w:tc>
          <w:tcPr>
            <w:tcW w:w="833" w:type="pct"/>
          </w:tcPr>
          <w:p w14:paraId="6ECAE778"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577</w:t>
            </w:r>
          </w:p>
        </w:tc>
        <w:tc>
          <w:tcPr>
            <w:tcW w:w="872" w:type="pct"/>
          </w:tcPr>
          <w:p w14:paraId="791ECD78"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48%</w:t>
            </w:r>
          </w:p>
        </w:tc>
      </w:tr>
      <w:tr w:rsidR="00775CE4" w:rsidRPr="008E75FC" w14:paraId="60FAB83D" w14:textId="77777777" w:rsidTr="0089643E">
        <w:trPr>
          <w:cantSplit/>
          <w:trHeight w:val="290"/>
          <w:tblHeader/>
          <w:jc w:val="center"/>
        </w:trPr>
        <w:tc>
          <w:tcPr>
            <w:tcW w:w="1839" w:type="pct"/>
          </w:tcPr>
          <w:p w14:paraId="54BB6FF2"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2018 to 2019</w:t>
            </w:r>
          </w:p>
        </w:tc>
        <w:tc>
          <w:tcPr>
            <w:tcW w:w="1456" w:type="pct"/>
          </w:tcPr>
          <w:p w14:paraId="35C282D0"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728</w:t>
            </w:r>
          </w:p>
        </w:tc>
        <w:tc>
          <w:tcPr>
            <w:tcW w:w="833" w:type="pct"/>
          </w:tcPr>
          <w:p w14:paraId="02212E9F"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642</w:t>
            </w:r>
          </w:p>
        </w:tc>
        <w:tc>
          <w:tcPr>
            <w:tcW w:w="872" w:type="pct"/>
          </w:tcPr>
          <w:p w14:paraId="4E06410F"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53%</w:t>
            </w:r>
          </w:p>
        </w:tc>
      </w:tr>
      <w:tr w:rsidR="00775CE4" w:rsidRPr="008E75FC" w14:paraId="40E6215D" w14:textId="77777777" w:rsidTr="0089643E">
        <w:trPr>
          <w:cantSplit/>
          <w:trHeight w:val="290"/>
          <w:tblHeader/>
          <w:jc w:val="center"/>
        </w:trPr>
        <w:tc>
          <w:tcPr>
            <w:tcW w:w="1839" w:type="pct"/>
          </w:tcPr>
          <w:p w14:paraId="0D7ADA33"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2019 to 2020</w:t>
            </w:r>
          </w:p>
        </w:tc>
        <w:tc>
          <w:tcPr>
            <w:tcW w:w="1456" w:type="pct"/>
          </w:tcPr>
          <w:p w14:paraId="3D11886E"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831</w:t>
            </w:r>
          </w:p>
        </w:tc>
        <w:tc>
          <w:tcPr>
            <w:tcW w:w="833" w:type="pct"/>
          </w:tcPr>
          <w:p w14:paraId="64ABBCC0"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718</w:t>
            </w:r>
          </w:p>
        </w:tc>
        <w:tc>
          <w:tcPr>
            <w:tcW w:w="872" w:type="pct"/>
          </w:tcPr>
          <w:p w14:paraId="2B74F4F5"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54%</w:t>
            </w:r>
          </w:p>
        </w:tc>
      </w:tr>
    </w:tbl>
    <w:p w14:paraId="579AB5C4" w14:textId="77777777" w:rsidR="00AB09A7" w:rsidRPr="008E75FC" w:rsidRDefault="00AB09A7" w:rsidP="00AB09A7">
      <w:pPr>
        <w:pStyle w:val="ListParagraph"/>
        <w:numPr>
          <w:ilvl w:val="0"/>
          <w:numId w:val="21"/>
        </w:numPr>
        <w:spacing w:after="100" w:afterAutospacing="1"/>
        <w:contextualSpacing w:val="0"/>
        <w:rPr>
          <w:rFonts w:asciiTheme="minorHAnsi" w:hAnsiTheme="minorHAnsi" w:cstheme="minorHAnsi"/>
          <w:sz w:val="22"/>
          <w:lang w:val="en-CA"/>
        </w:rPr>
      </w:pPr>
      <w:r w:rsidRPr="008E75FC">
        <w:rPr>
          <w:rFonts w:asciiTheme="minorHAnsi" w:hAnsiTheme="minorHAnsi" w:cstheme="minorHAnsi"/>
          <w:sz w:val="22"/>
          <w:lang w:val="en-CA"/>
        </w:rPr>
        <w:t>Includes indeterminate and specified term appointments</w:t>
      </w:r>
    </w:p>
    <w:p w14:paraId="653BF6E5" w14:textId="77777777" w:rsidR="00AB09A7" w:rsidRPr="008E75FC" w:rsidRDefault="00AB09A7" w:rsidP="00AB09A7">
      <w:pPr>
        <w:pStyle w:val="ListParagraph"/>
        <w:numPr>
          <w:ilvl w:val="0"/>
          <w:numId w:val="21"/>
        </w:numPr>
        <w:spacing w:before="100" w:beforeAutospacing="1" w:after="100" w:afterAutospacing="1"/>
        <w:contextualSpacing w:val="0"/>
        <w:rPr>
          <w:rFonts w:asciiTheme="minorHAnsi" w:hAnsiTheme="minorHAnsi" w:cstheme="minorHAnsi"/>
          <w:sz w:val="22"/>
          <w:lang w:val="en-CA"/>
        </w:rPr>
      </w:pPr>
      <w:r w:rsidRPr="008E75FC">
        <w:rPr>
          <w:rFonts w:asciiTheme="minorHAnsi" w:hAnsiTheme="minorHAnsi" w:cstheme="minorHAnsi"/>
          <w:sz w:val="22"/>
          <w:lang w:val="en-CA"/>
        </w:rPr>
        <w:t>Excludes lateral and downward movements, deployments and acting appointments of less than 4 months</w:t>
      </w:r>
    </w:p>
    <w:p w14:paraId="282263AD" w14:textId="1E92DBFF" w:rsidR="00244BB9" w:rsidRPr="008E75FC" w:rsidRDefault="00AB09A7" w:rsidP="00775CE4">
      <w:pPr>
        <w:pStyle w:val="ListParagraph"/>
        <w:numPr>
          <w:ilvl w:val="0"/>
          <w:numId w:val="21"/>
        </w:numPr>
        <w:tabs>
          <w:tab w:val="left" w:pos="7839"/>
        </w:tabs>
        <w:spacing w:before="100" w:beforeAutospacing="1" w:after="100" w:afterAutospacing="1"/>
        <w:contextualSpacing w:val="0"/>
        <w:rPr>
          <w:rFonts w:asciiTheme="minorHAnsi" w:hAnsiTheme="minorHAnsi" w:cstheme="minorHAnsi"/>
          <w:lang w:val="en-CA"/>
        </w:rPr>
      </w:pPr>
      <w:r w:rsidRPr="008E75FC">
        <w:rPr>
          <w:rFonts w:asciiTheme="minorHAnsi" w:hAnsiTheme="minorHAnsi" w:cstheme="minorHAnsi"/>
          <w:sz w:val="22"/>
          <w:lang w:val="en-CA"/>
        </w:rPr>
        <w:t>Includes only appointments where the staffing process type is known (59% to 83% of appointments)</w:t>
      </w:r>
    </w:p>
    <w:p w14:paraId="192D7EBE" w14:textId="77777777" w:rsidR="00244BB9" w:rsidRPr="008E75FC" w:rsidRDefault="00244BB9" w:rsidP="00436220">
      <w:pPr>
        <w:tabs>
          <w:tab w:val="left" w:pos="7839"/>
        </w:tabs>
        <w:rPr>
          <w:rFonts w:asciiTheme="minorHAnsi" w:hAnsiTheme="minorHAnsi" w:cstheme="minorHAnsi"/>
          <w:lang w:val="en-CA"/>
        </w:rPr>
        <w:sectPr w:rsidR="00244BB9" w:rsidRPr="008E75FC" w:rsidSect="002549B0">
          <w:pgSz w:w="15840" w:h="12240" w:orient="landscape"/>
          <w:pgMar w:top="1025" w:right="720" w:bottom="720" w:left="720" w:header="708" w:footer="708" w:gutter="0"/>
          <w:cols w:space="708"/>
          <w:titlePg/>
          <w:docGrid w:linePitch="360"/>
        </w:sectPr>
      </w:pPr>
    </w:p>
    <w:p w14:paraId="5496676C" w14:textId="77777777" w:rsidR="000E5FBB" w:rsidRPr="008E75FC" w:rsidRDefault="000E5FBB" w:rsidP="000E5FBB">
      <w:pPr>
        <w:pStyle w:val="Heading1"/>
        <w:spacing w:before="120" w:after="120"/>
        <w:rPr>
          <w:sz w:val="40"/>
          <w:lang w:val="en-CA"/>
        </w:rPr>
      </w:pPr>
      <w:r w:rsidRPr="008E75FC">
        <w:rPr>
          <w:rFonts w:eastAsia="Times New Roman"/>
          <w:sz w:val="40"/>
          <w:lang w:val="en-CA"/>
        </w:rPr>
        <w:lastRenderedPageBreak/>
        <w:t>Staffing by appointment type</w:t>
      </w:r>
    </w:p>
    <w:p w14:paraId="1B87FB4F" w14:textId="77777777" w:rsidR="000032BC" w:rsidRPr="008E75FC" w:rsidRDefault="00900F4B" w:rsidP="000032BC">
      <w:pPr>
        <w:keepNext/>
        <w:jc w:val="center"/>
        <w:rPr>
          <w:lang w:val="en-CA"/>
        </w:rPr>
      </w:pPr>
      <w:r w:rsidRPr="008E75FC">
        <w:rPr>
          <w:rFonts w:asciiTheme="minorHAnsi" w:hAnsiTheme="minorHAnsi" w:cstheme="minorHAnsi"/>
          <w:noProof/>
          <w:lang w:val="en-CA" w:eastAsia="en-CA"/>
        </w:rPr>
        <w:drawing>
          <wp:inline distT="0" distB="0" distL="0" distR="0" wp14:anchorId="5744E86F" wp14:editId="6B7D0423">
            <wp:extent cx="5648400" cy="3049200"/>
            <wp:effectExtent l="0" t="0" r="9525" b="18415"/>
            <wp:docPr id="9" name="Chart 9" descr="Staffing by appointment type&#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74124AE" w14:textId="2F4F9556" w:rsidR="00900F4B" w:rsidRPr="008E75FC" w:rsidRDefault="000032BC" w:rsidP="000032BC">
      <w:pPr>
        <w:pStyle w:val="Caption"/>
        <w:spacing w:after="0"/>
        <w:jc w:val="center"/>
        <w:rPr>
          <w:rFonts w:asciiTheme="minorHAnsi" w:hAnsiTheme="minorHAnsi" w:cstheme="minorHAnsi"/>
          <w:i w:val="0"/>
          <w:color w:val="auto"/>
          <w:lang w:val="en-CA"/>
        </w:rPr>
      </w:pPr>
      <w:r w:rsidRPr="008E75FC">
        <w:rPr>
          <w:rFonts w:asciiTheme="minorHAnsi" w:hAnsiTheme="minorHAnsi" w:cstheme="minorHAnsi"/>
          <w:i w:val="0"/>
          <w:color w:val="auto"/>
          <w:lang w:val="en-CA"/>
        </w:rPr>
        <w:t xml:space="preserve">Figure </w:t>
      </w:r>
      <w:r w:rsidRPr="008E75FC">
        <w:rPr>
          <w:rFonts w:asciiTheme="minorHAnsi" w:hAnsiTheme="minorHAnsi" w:cstheme="minorHAnsi"/>
          <w:i w:val="0"/>
          <w:color w:val="auto"/>
          <w:lang w:val="en-CA"/>
        </w:rPr>
        <w:fldChar w:fldCharType="begin"/>
      </w:r>
      <w:r w:rsidRPr="008E75FC">
        <w:rPr>
          <w:rFonts w:asciiTheme="minorHAnsi" w:hAnsiTheme="minorHAnsi" w:cstheme="minorHAnsi"/>
          <w:i w:val="0"/>
          <w:color w:val="auto"/>
          <w:lang w:val="en-CA"/>
        </w:rPr>
        <w:instrText xml:space="preserve"> SEQ Figure \* ARABIC </w:instrText>
      </w:r>
      <w:r w:rsidRPr="008E75FC">
        <w:rPr>
          <w:rFonts w:asciiTheme="minorHAnsi" w:hAnsiTheme="minorHAnsi" w:cstheme="minorHAnsi"/>
          <w:i w:val="0"/>
          <w:color w:val="auto"/>
          <w:lang w:val="en-CA"/>
        </w:rPr>
        <w:fldChar w:fldCharType="separate"/>
      </w:r>
      <w:r w:rsidR="00C57B8B" w:rsidRPr="008E75FC">
        <w:rPr>
          <w:rFonts w:asciiTheme="minorHAnsi" w:hAnsiTheme="minorHAnsi" w:cstheme="minorHAnsi"/>
          <w:i w:val="0"/>
          <w:noProof/>
          <w:color w:val="auto"/>
          <w:lang w:val="en-CA"/>
        </w:rPr>
        <w:t>8</w:t>
      </w:r>
      <w:r w:rsidRPr="008E75FC">
        <w:rPr>
          <w:rFonts w:asciiTheme="minorHAnsi" w:hAnsiTheme="minorHAnsi" w:cstheme="minorHAnsi"/>
          <w:i w:val="0"/>
          <w:color w:val="auto"/>
          <w:lang w:val="en-CA"/>
        </w:rPr>
        <w:fldChar w:fldCharType="end"/>
      </w:r>
      <w:r w:rsidRPr="008E75FC">
        <w:rPr>
          <w:rFonts w:asciiTheme="minorHAnsi" w:hAnsiTheme="minorHAnsi" w:cstheme="minorHAnsi"/>
          <w:i w:val="0"/>
          <w:color w:val="auto"/>
          <w:lang w:val="en-CA"/>
        </w:rPr>
        <w:t xml:space="preserve"> - Staffing by appointment type</w:t>
      </w:r>
    </w:p>
    <w:p w14:paraId="5003C267" w14:textId="3340833B" w:rsidR="000032BC" w:rsidRPr="008E75FC" w:rsidRDefault="000032BC" w:rsidP="000032BC">
      <w:pPr>
        <w:pStyle w:val="Caption"/>
        <w:keepNext/>
        <w:spacing w:before="240" w:after="0"/>
        <w:jc w:val="center"/>
        <w:rPr>
          <w:rFonts w:asciiTheme="minorHAnsi" w:hAnsiTheme="minorHAnsi" w:cstheme="minorHAnsi"/>
          <w:i w:val="0"/>
          <w:color w:val="auto"/>
          <w:lang w:val="en-CA"/>
        </w:rPr>
      </w:pPr>
      <w:r w:rsidRPr="008E75FC">
        <w:rPr>
          <w:rFonts w:asciiTheme="minorHAnsi" w:hAnsiTheme="minorHAnsi" w:cstheme="minorHAnsi"/>
          <w:i w:val="0"/>
          <w:color w:val="auto"/>
          <w:lang w:val="en-CA"/>
        </w:rPr>
        <w:t xml:space="preserve">Table </w:t>
      </w:r>
      <w:r w:rsidRPr="008E75FC">
        <w:rPr>
          <w:rFonts w:asciiTheme="minorHAnsi" w:hAnsiTheme="minorHAnsi" w:cstheme="minorHAnsi"/>
          <w:i w:val="0"/>
          <w:color w:val="auto"/>
          <w:lang w:val="en-CA"/>
        </w:rPr>
        <w:fldChar w:fldCharType="begin"/>
      </w:r>
      <w:r w:rsidRPr="008E75FC">
        <w:rPr>
          <w:rFonts w:asciiTheme="minorHAnsi" w:hAnsiTheme="minorHAnsi" w:cstheme="minorHAnsi"/>
          <w:i w:val="0"/>
          <w:color w:val="auto"/>
          <w:lang w:val="en-CA"/>
        </w:rPr>
        <w:instrText xml:space="preserve"> SEQ Table \* ARABIC </w:instrText>
      </w:r>
      <w:r w:rsidRPr="008E75FC">
        <w:rPr>
          <w:rFonts w:asciiTheme="minorHAnsi" w:hAnsiTheme="minorHAnsi" w:cstheme="minorHAnsi"/>
          <w:i w:val="0"/>
          <w:color w:val="auto"/>
          <w:lang w:val="en-CA"/>
        </w:rPr>
        <w:fldChar w:fldCharType="separate"/>
      </w:r>
      <w:r w:rsidR="006632C2" w:rsidRPr="008E75FC">
        <w:rPr>
          <w:rFonts w:asciiTheme="minorHAnsi" w:hAnsiTheme="minorHAnsi" w:cstheme="minorHAnsi"/>
          <w:i w:val="0"/>
          <w:noProof/>
          <w:color w:val="auto"/>
          <w:lang w:val="en-CA"/>
        </w:rPr>
        <w:t>11</w:t>
      </w:r>
      <w:r w:rsidRPr="008E75FC">
        <w:rPr>
          <w:rFonts w:asciiTheme="minorHAnsi" w:hAnsiTheme="minorHAnsi" w:cstheme="minorHAnsi"/>
          <w:i w:val="0"/>
          <w:color w:val="auto"/>
          <w:lang w:val="en-CA"/>
        </w:rPr>
        <w:fldChar w:fldCharType="end"/>
      </w:r>
      <w:r w:rsidRPr="008E75FC">
        <w:rPr>
          <w:rFonts w:asciiTheme="minorHAnsi" w:hAnsiTheme="minorHAnsi" w:cstheme="minorHAnsi"/>
          <w:i w:val="0"/>
          <w:color w:val="auto"/>
          <w:lang w:val="en-CA"/>
        </w:rPr>
        <w:t xml:space="preserve"> - Staffing activities by appointment type and fiscal year</w:t>
      </w:r>
    </w:p>
    <w:tbl>
      <w:tblPr>
        <w:tblStyle w:val="TableGrid"/>
        <w:tblW w:w="5000" w:type="pct"/>
        <w:jc w:val="center"/>
        <w:tblLook w:val="0020" w:firstRow="1" w:lastRow="0" w:firstColumn="0" w:lastColumn="0" w:noHBand="0" w:noVBand="0"/>
        <w:tblDescription w:val="Staffing by appointment type from 2015 to 2020"/>
      </w:tblPr>
      <w:tblGrid>
        <w:gridCol w:w="1695"/>
        <w:gridCol w:w="1701"/>
        <w:gridCol w:w="2553"/>
        <w:gridCol w:w="3543"/>
        <w:gridCol w:w="3560"/>
        <w:gridCol w:w="1338"/>
      </w:tblGrid>
      <w:tr w:rsidR="000032BC" w:rsidRPr="008E75FC" w14:paraId="380EA2DD" w14:textId="77777777" w:rsidTr="0089643E">
        <w:trPr>
          <w:cantSplit/>
          <w:tblHeader/>
          <w:jc w:val="center"/>
        </w:trPr>
        <w:tc>
          <w:tcPr>
            <w:tcW w:w="589" w:type="pct"/>
          </w:tcPr>
          <w:p w14:paraId="6284DA5C" w14:textId="77777777" w:rsidR="00AB09A7" w:rsidRPr="008E75FC" w:rsidRDefault="00AB09A7" w:rsidP="000032BC">
            <w:pPr>
              <w:pStyle w:val="TableTitle"/>
              <w:rPr>
                <w:rFonts w:cs="Segoe UI Semibold"/>
                <w:sz w:val="22"/>
                <w:lang w:val="en-CA"/>
              </w:rPr>
            </w:pPr>
            <w:r w:rsidRPr="008E75FC">
              <w:rPr>
                <w:rFonts w:cs="Segoe UI Semibold"/>
                <w:sz w:val="22"/>
                <w:lang w:val="en-CA"/>
              </w:rPr>
              <w:t>Fiscal year</w:t>
            </w:r>
          </w:p>
        </w:tc>
        <w:tc>
          <w:tcPr>
            <w:tcW w:w="591" w:type="pct"/>
          </w:tcPr>
          <w:p w14:paraId="1DB9DBA2" w14:textId="77777777" w:rsidR="00AB09A7" w:rsidRPr="008E75FC" w:rsidRDefault="00AB09A7" w:rsidP="000032BC">
            <w:pPr>
              <w:pStyle w:val="TableTitle"/>
              <w:rPr>
                <w:rFonts w:cs="Segoe UI Semibold"/>
                <w:sz w:val="22"/>
                <w:lang w:val="en-CA"/>
              </w:rPr>
            </w:pPr>
            <w:r w:rsidRPr="008E75FC">
              <w:rPr>
                <w:rFonts w:cs="Segoe UI Semibold"/>
                <w:sz w:val="22"/>
                <w:lang w:val="en-CA"/>
              </w:rPr>
              <w:t>Promotions</w:t>
            </w:r>
          </w:p>
        </w:tc>
        <w:tc>
          <w:tcPr>
            <w:tcW w:w="887" w:type="pct"/>
          </w:tcPr>
          <w:p w14:paraId="7E2B9204" w14:textId="77777777" w:rsidR="00AB09A7" w:rsidRPr="008E75FC" w:rsidRDefault="00AB09A7" w:rsidP="000032BC">
            <w:pPr>
              <w:pStyle w:val="TableTitle"/>
              <w:rPr>
                <w:rFonts w:cs="Segoe UI Semibold"/>
                <w:sz w:val="22"/>
                <w:lang w:val="en-CA"/>
              </w:rPr>
            </w:pPr>
            <w:r w:rsidRPr="008E75FC">
              <w:rPr>
                <w:rFonts w:cs="Segoe UI Semibold"/>
                <w:sz w:val="22"/>
                <w:lang w:val="en-CA"/>
              </w:rPr>
              <w:t>Lateral and downward movements</w:t>
            </w:r>
          </w:p>
        </w:tc>
        <w:tc>
          <w:tcPr>
            <w:tcW w:w="1231" w:type="pct"/>
          </w:tcPr>
          <w:p w14:paraId="688D9E2F" w14:textId="77777777" w:rsidR="00AB09A7" w:rsidRPr="008E75FC" w:rsidRDefault="00AB09A7" w:rsidP="000032BC">
            <w:pPr>
              <w:pStyle w:val="TableTitle"/>
              <w:rPr>
                <w:rFonts w:cs="Segoe UI Semibold"/>
                <w:sz w:val="22"/>
                <w:lang w:val="en-CA"/>
              </w:rPr>
            </w:pPr>
            <w:r w:rsidRPr="008E75FC">
              <w:rPr>
                <w:rFonts w:cs="Segoe UI Semibold"/>
                <w:sz w:val="22"/>
                <w:lang w:val="en-CA"/>
              </w:rPr>
              <w:t>Appointments to the public service (includes casuals and students)</w:t>
            </w:r>
          </w:p>
        </w:tc>
        <w:tc>
          <w:tcPr>
            <w:tcW w:w="1237" w:type="pct"/>
          </w:tcPr>
          <w:p w14:paraId="1BFA5F4C" w14:textId="77777777" w:rsidR="00AB09A7" w:rsidRPr="008E75FC" w:rsidRDefault="00AB09A7" w:rsidP="000032BC">
            <w:pPr>
              <w:pStyle w:val="TableTitle"/>
              <w:rPr>
                <w:rFonts w:cs="Segoe UI Semibold"/>
                <w:sz w:val="22"/>
                <w:lang w:val="en-CA"/>
              </w:rPr>
            </w:pPr>
            <w:r w:rsidRPr="008E75FC">
              <w:rPr>
                <w:rFonts w:cs="Segoe UI Semibold"/>
                <w:sz w:val="22"/>
                <w:lang w:val="en-CA"/>
              </w:rPr>
              <w:t>Acting appointments (excludes appointments of less than 4 months)</w:t>
            </w:r>
          </w:p>
        </w:tc>
        <w:tc>
          <w:tcPr>
            <w:tcW w:w="465" w:type="pct"/>
          </w:tcPr>
          <w:p w14:paraId="6F26A180" w14:textId="77777777" w:rsidR="00AB09A7" w:rsidRPr="008E75FC" w:rsidRDefault="00AB09A7" w:rsidP="000032BC">
            <w:pPr>
              <w:pStyle w:val="TableTitle"/>
              <w:rPr>
                <w:rFonts w:cs="Segoe UI Semibold"/>
                <w:sz w:val="22"/>
                <w:lang w:val="en-CA"/>
              </w:rPr>
            </w:pPr>
            <w:r w:rsidRPr="008E75FC">
              <w:rPr>
                <w:rFonts w:cs="Segoe UI Semibold"/>
                <w:sz w:val="22"/>
                <w:lang w:val="en-CA"/>
              </w:rPr>
              <w:t>Total</w:t>
            </w:r>
          </w:p>
        </w:tc>
      </w:tr>
      <w:tr w:rsidR="00AB09A7" w:rsidRPr="008E75FC" w14:paraId="0D4DEA59" w14:textId="77777777" w:rsidTr="0089643E">
        <w:trPr>
          <w:cantSplit/>
          <w:tblHeader/>
          <w:jc w:val="center"/>
        </w:trPr>
        <w:tc>
          <w:tcPr>
            <w:tcW w:w="589" w:type="pct"/>
          </w:tcPr>
          <w:p w14:paraId="248AB966" w14:textId="77777777" w:rsidR="00AB09A7" w:rsidRPr="008E75FC" w:rsidRDefault="00AB09A7" w:rsidP="00775CE4">
            <w:pPr>
              <w:autoSpaceDE w:val="0"/>
              <w:autoSpaceDN w:val="0"/>
              <w:adjustRightInd w:val="0"/>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2015 to 2016</w:t>
            </w:r>
          </w:p>
        </w:tc>
        <w:tc>
          <w:tcPr>
            <w:tcW w:w="591" w:type="pct"/>
          </w:tcPr>
          <w:p w14:paraId="78F751F9"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248</w:t>
            </w:r>
          </w:p>
        </w:tc>
        <w:tc>
          <w:tcPr>
            <w:tcW w:w="887" w:type="pct"/>
          </w:tcPr>
          <w:p w14:paraId="4310A815"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446</w:t>
            </w:r>
          </w:p>
        </w:tc>
        <w:tc>
          <w:tcPr>
            <w:tcW w:w="1231" w:type="pct"/>
          </w:tcPr>
          <w:p w14:paraId="710CF362"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1 443</w:t>
            </w:r>
          </w:p>
        </w:tc>
        <w:tc>
          <w:tcPr>
            <w:tcW w:w="1237" w:type="pct"/>
          </w:tcPr>
          <w:p w14:paraId="18E1FAED"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431</w:t>
            </w:r>
          </w:p>
        </w:tc>
        <w:tc>
          <w:tcPr>
            <w:tcW w:w="465" w:type="pct"/>
          </w:tcPr>
          <w:p w14:paraId="3064278C"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2 568</w:t>
            </w:r>
          </w:p>
        </w:tc>
      </w:tr>
      <w:tr w:rsidR="00AB09A7" w:rsidRPr="008E75FC" w14:paraId="71A00C2D" w14:textId="77777777" w:rsidTr="0089643E">
        <w:trPr>
          <w:cantSplit/>
          <w:tblHeader/>
          <w:jc w:val="center"/>
        </w:trPr>
        <w:tc>
          <w:tcPr>
            <w:tcW w:w="589" w:type="pct"/>
          </w:tcPr>
          <w:p w14:paraId="01240C90" w14:textId="77777777" w:rsidR="00AB09A7" w:rsidRPr="008E75FC" w:rsidRDefault="00AB09A7" w:rsidP="00775CE4">
            <w:pPr>
              <w:autoSpaceDE w:val="0"/>
              <w:autoSpaceDN w:val="0"/>
              <w:adjustRightInd w:val="0"/>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 xml:space="preserve">2016 to 2017 </w:t>
            </w:r>
          </w:p>
        </w:tc>
        <w:tc>
          <w:tcPr>
            <w:tcW w:w="591" w:type="pct"/>
          </w:tcPr>
          <w:p w14:paraId="5F029494"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480</w:t>
            </w:r>
          </w:p>
        </w:tc>
        <w:tc>
          <w:tcPr>
            <w:tcW w:w="887" w:type="pct"/>
          </w:tcPr>
          <w:p w14:paraId="010AC850"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769</w:t>
            </w:r>
          </w:p>
        </w:tc>
        <w:tc>
          <w:tcPr>
            <w:tcW w:w="1231" w:type="pct"/>
          </w:tcPr>
          <w:p w14:paraId="15B35C23"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1 505</w:t>
            </w:r>
          </w:p>
        </w:tc>
        <w:tc>
          <w:tcPr>
            <w:tcW w:w="1237" w:type="pct"/>
          </w:tcPr>
          <w:p w14:paraId="1CE2719A"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309</w:t>
            </w:r>
          </w:p>
        </w:tc>
        <w:tc>
          <w:tcPr>
            <w:tcW w:w="465" w:type="pct"/>
          </w:tcPr>
          <w:p w14:paraId="362CD97B"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3 063</w:t>
            </w:r>
          </w:p>
        </w:tc>
      </w:tr>
      <w:tr w:rsidR="00AB09A7" w:rsidRPr="008E75FC" w14:paraId="6FF7B39F" w14:textId="77777777" w:rsidTr="0089643E">
        <w:trPr>
          <w:cantSplit/>
          <w:tblHeader/>
          <w:jc w:val="center"/>
        </w:trPr>
        <w:tc>
          <w:tcPr>
            <w:tcW w:w="589" w:type="pct"/>
          </w:tcPr>
          <w:p w14:paraId="23FFFD41" w14:textId="77777777" w:rsidR="00AB09A7" w:rsidRPr="008E75FC" w:rsidRDefault="00AB09A7" w:rsidP="00775CE4">
            <w:pPr>
              <w:autoSpaceDE w:val="0"/>
              <w:autoSpaceDN w:val="0"/>
              <w:adjustRightInd w:val="0"/>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2017 to 2018</w:t>
            </w:r>
          </w:p>
        </w:tc>
        <w:tc>
          <w:tcPr>
            <w:tcW w:w="591" w:type="pct"/>
          </w:tcPr>
          <w:p w14:paraId="2EA37776"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544</w:t>
            </w:r>
          </w:p>
        </w:tc>
        <w:tc>
          <w:tcPr>
            <w:tcW w:w="887" w:type="pct"/>
          </w:tcPr>
          <w:p w14:paraId="502AC355"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671</w:t>
            </w:r>
          </w:p>
        </w:tc>
        <w:tc>
          <w:tcPr>
            <w:tcW w:w="1231" w:type="pct"/>
          </w:tcPr>
          <w:p w14:paraId="13946913"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1 579</w:t>
            </w:r>
          </w:p>
        </w:tc>
        <w:tc>
          <w:tcPr>
            <w:tcW w:w="1237" w:type="pct"/>
          </w:tcPr>
          <w:p w14:paraId="3F8FC589"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314</w:t>
            </w:r>
          </w:p>
        </w:tc>
        <w:tc>
          <w:tcPr>
            <w:tcW w:w="465" w:type="pct"/>
          </w:tcPr>
          <w:p w14:paraId="0999E520"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3 108</w:t>
            </w:r>
          </w:p>
        </w:tc>
      </w:tr>
      <w:tr w:rsidR="00AB09A7" w:rsidRPr="008E75FC" w14:paraId="41EBD04B" w14:textId="77777777" w:rsidTr="0089643E">
        <w:trPr>
          <w:cantSplit/>
          <w:tblHeader/>
          <w:jc w:val="center"/>
        </w:trPr>
        <w:tc>
          <w:tcPr>
            <w:tcW w:w="589" w:type="pct"/>
          </w:tcPr>
          <w:p w14:paraId="0CB2C10B" w14:textId="77777777" w:rsidR="00AB09A7" w:rsidRPr="008E75FC" w:rsidRDefault="00AB09A7" w:rsidP="00775CE4">
            <w:pPr>
              <w:autoSpaceDE w:val="0"/>
              <w:autoSpaceDN w:val="0"/>
              <w:adjustRightInd w:val="0"/>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2018 to 2019</w:t>
            </w:r>
          </w:p>
        </w:tc>
        <w:tc>
          <w:tcPr>
            <w:tcW w:w="591" w:type="pct"/>
          </w:tcPr>
          <w:p w14:paraId="40A47439"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675</w:t>
            </w:r>
          </w:p>
        </w:tc>
        <w:tc>
          <w:tcPr>
            <w:tcW w:w="887" w:type="pct"/>
          </w:tcPr>
          <w:p w14:paraId="000B9583"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677</w:t>
            </w:r>
          </w:p>
        </w:tc>
        <w:tc>
          <w:tcPr>
            <w:tcW w:w="1231" w:type="pct"/>
          </w:tcPr>
          <w:p w14:paraId="57737E28"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1 623</w:t>
            </w:r>
          </w:p>
        </w:tc>
        <w:tc>
          <w:tcPr>
            <w:tcW w:w="1237" w:type="pct"/>
          </w:tcPr>
          <w:p w14:paraId="04BBADE3"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469</w:t>
            </w:r>
          </w:p>
        </w:tc>
        <w:tc>
          <w:tcPr>
            <w:tcW w:w="465" w:type="pct"/>
          </w:tcPr>
          <w:p w14:paraId="2F0A870D"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3 444</w:t>
            </w:r>
          </w:p>
        </w:tc>
      </w:tr>
      <w:tr w:rsidR="00AB09A7" w:rsidRPr="008E75FC" w14:paraId="70DDC6AD" w14:textId="77777777" w:rsidTr="0089643E">
        <w:trPr>
          <w:cantSplit/>
          <w:tblHeader/>
          <w:jc w:val="center"/>
        </w:trPr>
        <w:tc>
          <w:tcPr>
            <w:tcW w:w="589" w:type="pct"/>
          </w:tcPr>
          <w:p w14:paraId="0EA2AD88" w14:textId="77777777" w:rsidR="00AB09A7" w:rsidRPr="008E75FC" w:rsidRDefault="00AB09A7" w:rsidP="00775CE4">
            <w:pPr>
              <w:autoSpaceDE w:val="0"/>
              <w:autoSpaceDN w:val="0"/>
              <w:adjustRightInd w:val="0"/>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2019 to 2020</w:t>
            </w:r>
          </w:p>
        </w:tc>
        <w:tc>
          <w:tcPr>
            <w:tcW w:w="591" w:type="pct"/>
          </w:tcPr>
          <w:p w14:paraId="11E7FD8C"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858</w:t>
            </w:r>
          </w:p>
        </w:tc>
        <w:tc>
          <w:tcPr>
            <w:tcW w:w="887" w:type="pct"/>
          </w:tcPr>
          <w:p w14:paraId="0BF68DBF"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820</w:t>
            </w:r>
          </w:p>
        </w:tc>
        <w:tc>
          <w:tcPr>
            <w:tcW w:w="1231" w:type="pct"/>
          </w:tcPr>
          <w:p w14:paraId="0CA8A079"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1 722</w:t>
            </w:r>
          </w:p>
        </w:tc>
        <w:tc>
          <w:tcPr>
            <w:tcW w:w="1237" w:type="pct"/>
          </w:tcPr>
          <w:p w14:paraId="3C20EB65"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568</w:t>
            </w:r>
          </w:p>
        </w:tc>
        <w:tc>
          <w:tcPr>
            <w:tcW w:w="465" w:type="pct"/>
          </w:tcPr>
          <w:p w14:paraId="55F34653"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3 968</w:t>
            </w:r>
          </w:p>
        </w:tc>
      </w:tr>
    </w:tbl>
    <w:p w14:paraId="742C9538" w14:textId="77777777" w:rsidR="00244BB9" w:rsidRPr="008E75FC" w:rsidRDefault="00244BB9" w:rsidP="00900F4B">
      <w:pPr>
        <w:rPr>
          <w:rFonts w:asciiTheme="minorHAnsi" w:hAnsiTheme="minorHAnsi" w:cstheme="minorHAnsi"/>
          <w:lang w:val="en-CA"/>
        </w:rPr>
      </w:pPr>
    </w:p>
    <w:p w14:paraId="574EAFFD" w14:textId="77777777" w:rsidR="00244BB9" w:rsidRPr="008E75FC" w:rsidRDefault="00244BB9" w:rsidP="00900F4B">
      <w:pPr>
        <w:rPr>
          <w:rFonts w:asciiTheme="minorHAnsi" w:hAnsiTheme="minorHAnsi" w:cstheme="minorHAnsi"/>
          <w:lang w:val="en-CA"/>
        </w:rPr>
        <w:sectPr w:rsidR="00244BB9" w:rsidRPr="008E75FC" w:rsidSect="002549B0">
          <w:pgSz w:w="15840" w:h="12240" w:orient="landscape"/>
          <w:pgMar w:top="1025" w:right="720" w:bottom="720" w:left="720" w:header="708" w:footer="708" w:gutter="0"/>
          <w:cols w:space="708"/>
          <w:titlePg/>
          <w:docGrid w:linePitch="360"/>
        </w:sectPr>
      </w:pPr>
    </w:p>
    <w:p w14:paraId="095BBAC3" w14:textId="77777777" w:rsidR="000032BC" w:rsidRPr="008E75FC" w:rsidRDefault="000032BC" w:rsidP="000032BC">
      <w:pPr>
        <w:pStyle w:val="Heading1"/>
        <w:spacing w:before="120" w:after="120"/>
        <w:rPr>
          <w:sz w:val="40"/>
          <w:lang w:val="en-CA"/>
        </w:rPr>
      </w:pPr>
      <w:r w:rsidRPr="008E75FC">
        <w:rPr>
          <w:rFonts w:eastAsia="Times New Roman"/>
          <w:sz w:val="40"/>
          <w:lang w:val="en-CA"/>
        </w:rPr>
        <w:lastRenderedPageBreak/>
        <w:t>Staffing by tenure</w:t>
      </w:r>
    </w:p>
    <w:p w14:paraId="32D779F4" w14:textId="77777777" w:rsidR="000032BC" w:rsidRPr="008E75FC" w:rsidRDefault="00244BB9" w:rsidP="000032BC">
      <w:pPr>
        <w:keepNext/>
        <w:jc w:val="center"/>
        <w:rPr>
          <w:lang w:val="en-CA"/>
        </w:rPr>
      </w:pPr>
      <w:r w:rsidRPr="008E75FC">
        <w:rPr>
          <w:rFonts w:asciiTheme="minorHAnsi" w:hAnsiTheme="minorHAnsi" w:cstheme="minorHAnsi"/>
          <w:noProof/>
          <w:lang w:val="en-CA" w:eastAsia="en-CA"/>
        </w:rPr>
        <w:drawing>
          <wp:inline distT="0" distB="0" distL="0" distR="0" wp14:anchorId="627AE514" wp14:editId="230C03EC">
            <wp:extent cx="5648400" cy="3049200"/>
            <wp:effectExtent l="0" t="0" r="9525" b="18415"/>
            <wp:docPr id="3" name="Chart 3" descr="Staffing by tenure&#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D6575A9" w14:textId="3F112CFB" w:rsidR="00244BB9" w:rsidRPr="008E75FC" w:rsidRDefault="000032BC" w:rsidP="000032BC">
      <w:pPr>
        <w:pStyle w:val="Caption"/>
        <w:spacing w:after="0"/>
        <w:jc w:val="center"/>
        <w:rPr>
          <w:rFonts w:asciiTheme="minorHAnsi" w:hAnsiTheme="minorHAnsi" w:cstheme="minorHAnsi"/>
          <w:i w:val="0"/>
          <w:color w:val="auto"/>
          <w:lang w:val="en-CA"/>
        </w:rPr>
      </w:pPr>
      <w:r w:rsidRPr="008E75FC">
        <w:rPr>
          <w:rFonts w:asciiTheme="minorHAnsi" w:hAnsiTheme="minorHAnsi" w:cstheme="minorHAnsi"/>
          <w:i w:val="0"/>
          <w:color w:val="auto"/>
          <w:lang w:val="en-CA"/>
        </w:rPr>
        <w:t xml:space="preserve">Figure </w:t>
      </w:r>
      <w:r w:rsidRPr="008E75FC">
        <w:rPr>
          <w:rFonts w:asciiTheme="minorHAnsi" w:hAnsiTheme="minorHAnsi" w:cstheme="minorHAnsi"/>
          <w:i w:val="0"/>
          <w:color w:val="auto"/>
          <w:lang w:val="en-CA"/>
        </w:rPr>
        <w:fldChar w:fldCharType="begin"/>
      </w:r>
      <w:r w:rsidRPr="008E75FC">
        <w:rPr>
          <w:rFonts w:asciiTheme="minorHAnsi" w:hAnsiTheme="minorHAnsi" w:cstheme="minorHAnsi"/>
          <w:i w:val="0"/>
          <w:color w:val="auto"/>
          <w:lang w:val="en-CA"/>
        </w:rPr>
        <w:instrText xml:space="preserve"> SEQ Figure \* ARABIC </w:instrText>
      </w:r>
      <w:r w:rsidRPr="008E75FC">
        <w:rPr>
          <w:rFonts w:asciiTheme="minorHAnsi" w:hAnsiTheme="minorHAnsi" w:cstheme="minorHAnsi"/>
          <w:i w:val="0"/>
          <w:color w:val="auto"/>
          <w:lang w:val="en-CA"/>
        </w:rPr>
        <w:fldChar w:fldCharType="separate"/>
      </w:r>
      <w:r w:rsidR="00C57B8B" w:rsidRPr="008E75FC">
        <w:rPr>
          <w:rFonts w:asciiTheme="minorHAnsi" w:hAnsiTheme="minorHAnsi" w:cstheme="minorHAnsi"/>
          <w:i w:val="0"/>
          <w:noProof/>
          <w:color w:val="auto"/>
          <w:lang w:val="en-CA"/>
        </w:rPr>
        <w:t>9</w:t>
      </w:r>
      <w:r w:rsidRPr="008E75FC">
        <w:rPr>
          <w:rFonts w:asciiTheme="minorHAnsi" w:hAnsiTheme="minorHAnsi" w:cstheme="minorHAnsi"/>
          <w:i w:val="0"/>
          <w:color w:val="auto"/>
          <w:lang w:val="en-CA"/>
        </w:rPr>
        <w:fldChar w:fldCharType="end"/>
      </w:r>
      <w:r w:rsidRPr="008E75FC">
        <w:rPr>
          <w:rFonts w:asciiTheme="minorHAnsi" w:hAnsiTheme="minorHAnsi" w:cstheme="minorHAnsi"/>
          <w:i w:val="0"/>
          <w:color w:val="auto"/>
          <w:lang w:val="en-CA"/>
        </w:rPr>
        <w:t xml:space="preserve"> - Staffing by tenure</w:t>
      </w:r>
    </w:p>
    <w:p w14:paraId="45BEC653" w14:textId="2D6D8286" w:rsidR="000032BC" w:rsidRPr="008E75FC" w:rsidRDefault="000032BC" w:rsidP="000032BC">
      <w:pPr>
        <w:pStyle w:val="Caption"/>
        <w:keepNext/>
        <w:spacing w:before="240" w:after="0"/>
        <w:jc w:val="center"/>
        <w:rPr>
          <w:rFonts w:asciiTheme="minorHAnsi" w:hAnsiTheme="minorHAnsi" w:cstheme="minorHAnsi"/>
          <w:i w:val="0"/>
          <w:color w:val="auto"/>
          <w:lang w:val="en-CA"/>
        </w:rPr>
      </w:pPr>
      <w:r w:rsidRPr="008E75FC">
        <w:rPr>
          <w:rFonts w:asciiTheme="minorHAnsi" w:hAnsiTheme="minorHAnsi" w:cstheme="minorHAnsi"/>
          <w:i w:val="0"/>
          <w:color w:val="auto"/>
          <w:lang w:val="en-CA"/>
        </w:rPr>
        <w:t xml:space="preserve">Table </w:t>
      </w:r>
      <w:r w:rsidRPr="008E75FC">
        <w:rPr>
          <w:rFonts w:asciiTheme="minorHAnsi" w:hAnsiTheme="minorHAnsi" w:cstheme="minorHAnsi"/>
          <w:i w:val="0"/>
          <w:color w:val="auto"/>
          <w:lang w:val="en-CA"/>
        </w:rPr>
        <w:fldChar w:fldCharType="begin"/>
      </w:r>
      <w:r w:rsidRPr="008E75FC">
        <w:rPr>
          <w:rFonts w:asciiTheme="minorHAnsi" w:hAnsiTheme="minorHAnsi" w:cstheme="minorHAnsi"/>
          <w:i w:val="0"/>
          <w:color w:val="auto"/>
          <w:lang w:val="en-CA"/>
        </w:rPr>
        <w:instrText xml:space="preserve"> SEQ Table \* ARABIC </w:instrText>
      </w:r>
      <w:r w:rsidRPr="008E75FC">
        <w:rPr>
          <w:rFonts w:asciiTheme="minorHAnsi" w:hAnsiTheme="minorHAnsi" w:cstheme="minorHAnsi"/>
          <w:i w:val="0"/>
          <w:color w:val="auto"/>
          <w:lang w:val="en-CA"/>
        </w:rPr>
        <w:fldChar w:fldCharType="separate"/>
      </w:r>
      <w:r w:rsidR="006632C2" w:rsidRPr="008E75FC">
        <w:rPr>
          <w:rFonts w:asciiTheme="minorHAnsi" w:hAnsiTheme="minorHAnsi" w:cstheme="minorHAnsi"/>
          <w:i w:val="0"/>
          <w:noProof/>
          <w:color w:val="auto"/>
          <w:lang w:val="en-CA"/>
        </w:rPr>
        <w:t>12</w:t>
      </w:r>
      <w:r w:rsidRPr="008E75FC">
        <w:rPr>
          <w:rFonts w:asciiTheme="minorHAnsi" w:hAnsiTheme="minorHAnsi" w:cstheme="minorHAnsi"/>
          <w:i w:val="0"/>
          <w:color w:val="auto"/>
          <w:lang w:val="en-CA"/>
        </w:rPr>
        <w:fldChar w:fldCharType="end"/>
      </w:r>
      <w:r w:rsidRPr="008E75FC">
        <w:rPr>
          <w:rFonts w:asciiTheme="minorHAnsi" w:hAnsiTheme="minorHAnsi" w:cstheme="minorHAnsi"/>
          <w:i w:val="0"/>
          <w:color w:val="auto"/>
          <w:lang w:val="en-CA"/>
        </w:rPr>
        <w:t xml:space="preserve"> - Staffing activities by tenure and fiscal year</w:t>
      </w:r>
    </w:p>
    <w:tbl>
      <w:tblPr>
        <w:tblStyle w:val="TableGrid"/>
        <w:tblW w:w="5000" w:type="pct"/>
        <w:jc w:val="center"/>
        <w:tblLook w:val="0020" w:firstRow="1" w:lastRow="0" w:firstColumn="0" w:lastColumn="0" w:noHBand="0" w:noVBand="0"/>
        <w:tblDescription w:val="Staffing by tenure from 2015 to 2020"/>
      </w:tblPr>
      <w:tblGrid>
        <w:gridCol w:w="1696"/>
        <w:gridCol w:w="2554"/>
        <w:gridCol w:w="2412"/>
        <w:gridCol w:w="2550"/>
        <w:gridCol w:w="2691"/>
        <w:gridCol w:w="2487"/>
      </w:tblGrid>
      <w:tr w:rsidR="000032BC" w:rsidRPr="008E75FC" w14:paraId="0BA939BF" w14:textId="77777777" w:rsidTr="0089643E">
        <w:trPr>
          <w:cantSplit/>
          <w:tblHeader/>
          <w:jc w:val="center"/>
        </w:trPr>
        <w:tc>
          <w:tcPr>
            <w:tcW w:w="589" w:type="pct"/>
          </w:tcPr>
          <w:p w14:paraId="23260B0A" w14:textId="77777777" w:rsidR="00AB09A7" w:rsidRPr="008E75FC" w:rsidRDefault="00AB09A7" w:rsidP="000032BC">
            <w:pPr>
              <w:pStyle w:val="TableTitle"/>
              <w:rPr>
                <w:color w:val="auto"/>
                <w:sz w:val="22"/>
                <w:lang w:val="en-CA"/>
              </w:rPr>
            </w:pPr>
            <w:r w:rsidRPr="008E75FC">
              <w:rPr>
                <w:color w:val="auto"/>
                <w:sz w:val="22"/>
                <w:lang w:val="en-CA"/>
              </w:rPr>
              <w:t>Fiscal year</w:t>
            </w:r>
          </w:p>
        </w:tc>
        <w:tc>
          <w:tcPr>
            <w:tcW w:w="887" w:type="pct"/>
          </w:tcPr>
          <w:p w14:paraId="058233B0" w14:textId="77777777" w:rsidR="00AB09A7" w:rsidRPr="008E75FC" w:rsidRDefault="00AB09A7" w:rsidP="000032BC">
            <w:pPr>
              <w:pStyle w:val="TableTitle"/>
              <w:rPr>
                <w:color w:val="auto"/>
                <w:sz w:val="22"/>
                <w:lang w:val="en-CA"/>
              </w:rPr>
            </w:pPr>
            <w:r w:rsidRPr="008E75FC">
              <w:rPr>
                <w:color w:val="auto"/>
                <w:sz w:val="22"/>
                <w:lang w:val="en-CA"/>
              </w:rPr>
              <w:t>Indeterminate staffing activities</w:t>
            </w:r>
          </w:p>
        </w:tc>
        <w:tc>
          <w:tcPr>
            <w:tcW w:w="838" w:type="pct"/>
          </w:tcPr>
          <w:p w14:paraId="6F058B20" w14:textId="77777777" w:rsidR="00AB09A7" w:rsidRPr="008E75FC" w:rsidRDefault="00AB09A7" w:rsidP="000032BC">
            <w:pPr>
              <w:pStyle w:val="TableTitle"/>
              <w:rPr>
                <w:color w:val="auto"/>
                <w:sz w:val="22"/>
                <w:lang w:val="en-CA"/>
              </w:rPr>
            </w:pPr>
            <w:r w:rsidRPr="008E75FC">
              <w:rPr>
                <w:color w:val="auto"/>
                <w:sz w:val="22"/>
                <w:lang w:val="en-CA"/>
              </w:rPr>
              <w:t>Term staffing activities</w:t>
            </w:r>
          </w:p>
        </w:tc>
        <w:tc>
          <w:tcPr>
            <w:tcW w:w="886" w:type="pct"/>
          </w:tcPr>
          <w:p w14:paraId="42B74090" w14:textId="77777777" w:rsidR="00AB09A7" w:rsidRPr="008E75FC" w:rsidRDefault="00AB09A7" w:rsidP="000032BC">
            <w:pPr>
              <w:pStyle w:val="TableTitle"/>
              <w:rPr>
                <w:color w:val="auto"/>
                <w:sz w:val="22"/>
                <w:lang w:val="en-CA"/>
              </w:rPr>
            </w:pPr>
            <w:r w:rsidRPr="008E75FC">
              <w:rPr>
                <w:color w:val="auto"/>
                <w:sz w:val="22"/>
                <w:lang w:val="en-CA"/>
              </w:rPr>
              <w:t>Casual staffing activities</w:t>
            </w:r>
          </w:p>
        </w:tc>
        <w:tc>
          <w:tcPr>
            <w:tcW w:w="935" w:type="pct"/>
          </w:tcPr>
          <w:p w14:paraId="0B34AA8F" w14:textId="77777777" w:rsidR="00AB09A7" w:rsidRPr="008E75FC" w:rsidRDefault="00AB09A7" w:rsidP="000032BC">
            <w:pPr>
              <w:pStyle w:val="TableTitle"/>
              <w:rPr>
                <w:color w:val="auto"/>
                <w:sz w:val="22"/>
                <w:lang w:val="en-CA"/>
              </w:rPr>
            </w:pPr>
            <w:r w:rsidRPr="008E75FC">
              <w:rPr>
                <w:color w:val="auto"/>
                <w:sz w:val="22"/>
                <w:lang w:val="en-CA"/>
              </w:rPr>
              <w:t>Student staffing activities</w:t>
            </w:r>
          </w:p>
        </w:tc>
        <w:tc>
          <w:tcPr>
            <w:tcW w:w="864" w:type="pct"/>
          </w:tcPr>
          <w:p w14:paraId="7E7FE60B" w14:textId="77777777" w:rsidR="00AB09A7" w:rsidRPr="008E75FC" w:rsidRDefault="00AB09A7" w:rsidP="000032BC">
            <w:pPr>
              <w:pStyle w:val="TableTitle"/>
              <w:rPr>
                <w:color w:val="auto"/>
                <w:sz w:val="22"/>
                <w:lang w:val="en-CA"/>
              </w:rPr>
            </w:pPr>
            <w:r w:rsidRPr="008E75FC">
              <w:rPr>
                <w:color w:val="auto"/>
                <w:sz w:val="22"/>
                <w:lang w:val="en-CA"/>
              </w:rPr>
              <w:t>Total staffing activities</w:t>
            </w:r>
          </w:p>
        </w:tc>
      </w:tr>
      <w:tr w:rsidR="00AB09A7" w:rsidRPr="008E75FC" w14:paraId="7809EF0D" w14:textId="77777777" w:rsidTr="0089643E">
        <w:trPr>
          <w:cantSplit/>
          <w:tblHeader/>
          <w:jc w:val="center"/>
        </w:trPr>
        <w:tc>
          <w:tcPr>
            <w:tcW w:w="589" w:type="pct"/>
          </w:tcPr>
          <w:p w14:paraId="761910B3" w14:textId="77777777" w:rsidR="00AB09A7" w:rsidRPr="008E75FC" w:rsidRDefault="00AB09A7" w:rsidP="00775CE4">
            <w:pPr>
              <w:autoSpaceDE w:val="0"/>
              <w:autoSpaceDN w:val="0"/>
              <w:adjustRightInd w:val="0"/>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2015 to 2016</w:t>
            </w:r>
          </w:p>
        </w:tc>
        <w:tc>
          <w:tcPr>
            <w:tcW w:w="887" w:type="pct"/>
          </w:tcPr>
          <w:p w14:paraId="3AA2ABB2"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1 131</w:t>
            </w:r>
          </w:p>
        </w:tc>
        <w:tc>
          <w:tcPr>
            <w:tcW w:w="838" w:type="pct"/>
          </w:tcPr>
          <w:p w14:paraId="0DA1B17F"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206</w:t>
            </w:r>
          </w:p>
        </w:tc>
        <w:tc>
          <w:tcPr>
            <w:tcW w:w="886" w:type="pct"/>
          </w:tcPr>
          <w:p w14:paraId="0F2302D9"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597</w:t>
            </w:r>
          </w:p>
        </w:tc>
        <w:tc>
          <w:tcPr>
            <w:tcW w:w="935" w:type="pct"/>
          </w:tcPr>
          <w:p w14:paraId="4D30EAAA"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634</w:t>
            </w:r>
          </w:p>
        </w:tc>
        <w:tc>
          <w:tcPr>
            <w:tcW w:w="864" w:type="pct"/>
          </w:tcPr>
          <w:p w14:paraId="68A75F8F"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2 568</w:t>
            </w:r>
          </w:p>
        </w:tc>
      </w:tr>
      <w:tr w:rsidR="00AB09A7" w:rsidRPr="008E75FC" w14:paraId="71C19A91" w14:textId="77777777" w:rsidTr="0089643E">
        <w:trPr>
          <w:cantSplit/>
          <w:tblHeader/>
          <w:jc w:val="center"/>
        </w:trPr>
        <w:tc>
          <w:tcPr>
            <w:tcW w:w="589" w:type="pct"/>
          </w:tcPr>
          <w:p w14:paraId="3024BA76" w14:textId="77777777" w:rsidR="00AB09A7" w:rsidRPr="008E75FC" w:rsidRDefault="00AB09A7" w:rsidP="00775CE4">
            <w:pPr>
              <w:autoSpaceDE w:val="0"/>
              <w:autoSpaceDN w:val="0"/>
              <w:adjustRightInd w:val="0"/>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2016 to 2017</w:t>
            </w:r>
          </w:p>
        </w:tc>
        <w:tc>
          <w:tcPr>
            <w:tcW w:w="887" w:type="pct"/>
          </w:tcPr>
          <w:p w14:paraId="0C121AB6"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1 682</w:t>
            </w:r>
          </w:p>
        </w:tc>
        <w:tc>
          <w:tcPr>
            <w:tcW w:w="838" w:type="pct"/>
          </w:tcPr>
          <w:p w14:paraId="2D97636D"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267</w:t>
            </w:r>
          </w:p>
        </w:tc>
        <w:tc>
          <w:tcPr>
            <w:tcW w:w="886" w:type="pct"/>
          </w:tcPr>
          <w:p w14:paraId="23CE25FD"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547</w:t>
            </w:r>
          </w:p>
        </w:tc>
        <w:tc>
          <w:tcPr>
            <w:tcW w:w="935" w:type="pct"/>
          </w:tcPr>
          <w:p w14:paraId="36942923"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567</w:t>
            </w:r>
          </w:p>
        </w:tc>
        <w:tc>
          <w:tcPr>
            <w:tcW w:w="864" w:type="pct"/>
          </w:tcPr>
          <w:p w14:paraId="6CFAEF77"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3063</w:t>
            </w:r>
          </w:p>
        </w:tc>
      </w:tr>
      <w:tr w:rsidR="00AB09A7" w:rsidRPr="008E75FC" w14:paraId="70890BF3" w14:textId="77777777" w:rsidTr="0089643E">
        <w:trPr>
          <w:cantSplit/>
          <w:tblHeader/>
          <w:jc w:val="center"/>
        </w:trPr>
        <w:tc>
          <w:tcPr>
            <w:tcW w:w="589" w:type="pct"/>
          </w:tcPr>
          <w:p w14:paraId="2B53B413" w14:textId="77777777" w:rsidR="00AB09A7" w:rsidRPr="008E75FC" w:rsidRDefault="00AB09A7" w:rsidP="00775CE4">
            <w:pPr>
              <w:autoSpaceDE w:val="0"/>
              <w:autoSpaceDN w:val="0"/>
              <w:adjustRightInd w:val="0"/>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2017 to 2018</w:t>
            </w:r>
          </w:p>
        </w:tc>
        <w:tc>
          <w:tcPr>
            <w:tcW w:w="887" w:type="pct"/>
          </w:tcPr>
          <w:p w14:paraId="452FF912"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1 696</w:t>
            </w:r>
          </w:p>
        </w:tc>
        <w:tc>
          <w:tcPr>
            <w:tcW w:w="838" w:type="pct"/>
          </w:tcPr>
          <w:p w14:paraId="5C72FBE8"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314</w:t>
            </w:r>
          </w:p>
        </w:tc>
        <w:tc>
          <w:tcPr>
            <w:tcW w:w="886" w:type="pct"/>
          </w:tcPr>
          <w:p w14:paraId="4236E15A"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557</w:t>
            </w:r>
          </w:p>
        </w:tc>
        <w:tc>
          <w:tcPr>
            <w:tcW w:w="935" w:type="pct"/>
          </w:tcPr>
          <w:p w14:paraId="4E700D04"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541</w:t>
            </w:r>
          </w:p>
        </w:tc>
        <w:tc>
          <w:tcPr>
            <w:tcW w:w="864" w:type="pct"/>
          </w:tcPr>
          <w:p w14:paraId="3BB02BB1"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3 108</w:t>
            </w:r>
          </w:p>
        </w:tc>
      </w:tr>
      <w:tr w:rsidR="00AB09A7" w:rsidRPr="008E75FC" w14:paraId="1DC7FC1E" w14:textId="77777777" w:rsidTr="0089643E">
        <w:trPr>
          <w:cantSplit/>
          <w:tblHeader/>
          <w:jc w:val="center"/>
        </w:trPr>
        <w:tc>
          <w:tcPr>
            <w:tcW w:w="589" w:type="pct"/>
          </w:tcPr>
          <w:p w14:paraId="549C63A2" w14:textId="77777777" w:rsidR="00AB09A7" w:rsidRPr="008E75FC" w:rsidRDefault="00AB09A7" w:rsidP="00775CE4">
            <w:pPr>
              <w:autoSpaceDE w:val="0"/>
              <w:autoSpaceDN w:val="0"/>
              <w:adjustRightInd w:val="0"/>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2018 to 2019</w:t>
            </w:r>
          </w:p>
        </w:tc>
        <w:tc>
          <w:tcPr>
            <w:tcW w:w="887" w:type="pct"/>
          </w:tcPr>
          <w:p w14:paraId="0EA72F85"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1 993</w:t>
            </w:r>
          </w:p>
        </w:tc>
        <w:tc>
          <w:tcPr>
            <w:tcW w:w="838" w:type="pct"/>
          </w:tcPr>
          <w:p w14:paraId="3ED6C9D9"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328</w:t>
            </w:r>
          </w:p>
        </w:tc>
        <w:tc>
          <w:tcPr>
            <w:tcW w:w="886" w:type="pct"/>
          </w:tcPr>
          <w:p w14:paraId="510A5D14"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599</w:t>
            </w:r>
          </w:p>
        </w:tc>
        <w:tc>
          <w:tcPr>
            <w:tcW w:w="935" w:type="pct"/>
          </w:tcPr>
          <w:p w14:paraId="15A19A8A"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524</w:t>
            </w:r>
          </w:p>
        </w:tc>
        <w:tc>
          <w:tcPr>
            <w:tcW w:w="864" w:type="pct"/>
          </w:tcPr>
          <w:p w14:paraId="73B2648A"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3 444</w:t>
            </w:r>
          </w:p>
        </w:tc>
      </w:tr>
      <w:tr w:rsidR="00AB09A7" w:rsidRPr="008E75FC" w14:paraId="1EFBD7D8" w14:textId="77777777" w:rsidTr="0089643E">
        <w:trPr>
          <w:cantSplit/>
          <w:tblHeader/>
          <w:jc w:val="center"/>
        </w:trPr>
        <w:tc>
          <w:tcPr>
            <w:tcW w:w="589" w:type="pct"/>
          </w:tcPr>
          <w:p w14:paraId="1C1FD9A7" w14:textId="77777777" w:rsidR="00AB09A7" w:rsidRPr="008E75FC" w:rsidRDefault="00AB09A7" w:rsidP="00775CE4">
            <w:pPr>
              <w:autoSpaceDE w:val="0"/>
              <w:autoSpaceDN w:val="0"/>
              <w:adjustRightInd w:val="0"/>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2019 to 2020</w:t>
            </w:r>
          </w:p>
        </w:tc>
        <w:tc>
          <w:tcPr>
            <w:tcW w:w="887" w:type="pct"/>
          </w:tcPr>
          <w:p w14:paraId="0CED8B7A"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2 470</w:t>
            </w:r>
          </w:p>
        </w:tc>
        <w:tc>
          <w:tcPr>
            <w:tcW w:w="838" w:type="pct"/>
          </w:tcPr>
          <w:p w14:paraId="100C7674"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372</w:t>
            </w:r>
          </w:p>
        </w:tc>
        <w:tc>
          <w:tcPr>
            <w:tcW w:w="886" w:type="pct"/>
          </w:tcPr>
          <w:p w14:paraId="4928FD48"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609</w:t>
            </w:r>
          </w:p>
        </w:tc>
        <w:tc>
          <w:tcPr>
            <w:tcW w:w="935" w:type="pct"/>
          </w:tcPr>
          <w:p w14:paraId="44899563"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517</w:t>
            </w:r>
          </w:p>
        </w:tc>
        <w:tc>
          <w:tcPr>
            <w:tcW w:w="864" w:type="pct"/>
          </w:tcPr>
          <w:p w14:paraId="6D34D5D2"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4"/>
                <w:lang w:val="en-CA"/>
              </w:rPr>
            </w:pPr>
            <w:r w:rsidRPr="008E75FC">
              <w:rPr>
                <w:rFonts w:asciiTheme="minorHAnsi" w:hAnsiTheme="minorHAnsi" w:cstheme="minorHAnsi"/>
                <w:color w:val="000000"/>
                <w:sz w:val="22"/>
                <w:szCs w:val="24"/>
                <w:lang w:val="en-CA"/>
              </w:rPr>
              <w:t>3 968</w:t>
            </w:r>
          </w:p>
        </w:tc>
      </w:tr>
    </w:tbl>
    <w:p w14:paraId="3E944B5E" w14:textId="77777777" w:rsidR="00AB09A7" w:rsidRPr="008E75FC" w:rsidRDefault="00AB09A7" w:rsidP="000032BC">
      <w:pPr>
        <w:spacing w:before="120"/>
        <w:rPr>
          <w:rStyle w:val="Strong"/>
          <w:lang w:val="en-CA"/>
        </w:rPr>
      </w:pPr>
      <w:r w:rsidRPr="008E75FC">
        <w:rPr>
          <w:rStyle w:val="Strong"/>
          <w:lang w:val="en-CA"/>
        </w:rPr>
        <w:t>Key findings - Staffing and non-partisanship survey (2018)</w:t>
      </w:r>
    </w:p>
    <w:p w14:paraId="5A1C1D14" w14:textId="77777777" w:rsidR="00AB09A7" w:rsidRPr="008E75FC" w:rsidRDefault="00AB09A7" w:rsidP="00F4758D">
      <w:pPr>
        <w:pStyle w:val="ListParagraph"/>
        <w:numPr>
          <w:ilvl w:val="0"/>
          <w:numId w:val="22"/>
        </w:numPr>
        <w:spacing w:after="0"/>
        <w:contextualSpacing w:val="0"/>
        <w:rPr>
          <w:rFonts w:asciiTheme="minorHAnsi" w:hAnsiTheme="minorHAnsi" w:cstheme="minorHAnsi"/>
          <w:sz w:val="22"/>
          <w:lang w:val="en-CA"/>
        </w:rPr>
      </w:pPr>
      <w:r w:rsidRPr="008E75FC">
        <w:rPr>
          <w:rFonts w:asciiTheme="minorHAnsi" w:hAnsiTheme="minorHAnsi" w:cstheme="minorHAnsi"/>
          <w:sz w:val="22"/>
          <w:lang w:val="en-CA"/>
        </w:rPr>
        <w:t xml:space="preserve">55.9% of </w:t>
      </w:r>
      <w:r w:rsidRPr="008E75FC">
        <w:rPr>
          <w:rStyle w:val="Strong"/>
          <w:lang w:val="en-CA"/>
        </w:rPr>
        <w:t>employees</w:t>
      </w:r>
      <w:r w:rsidRPr="008E75FC">
        <w:rPr>
          <w:rFonts w:asciiTheme="minorHAnsi" w:hAnsiTheme="minorHAnsi" w:cstheme="minorHAnsi"/>
          <w:sz w:val="22"/>
          <w:lang w:val="en-CA"/>
        </w:rPr>
        <w:t xml:space="preserve"> agreed that people hired can do the job, compared to 52.3% in organizations of similar size, and 53.8% in the federal public service</w:t>
      </w:r>
    </w:p>
    <w:p w14:paraId="0394707F" w14:textId="77777777" w:rsidR="00AB09A7" w:rsidRPr="008E75FC" w:rsidRDefault="00AB09A7" w:rsidP="00F4758D">
      <w:pPr>
        <w:pStyle w:val="ListParagraph"/>
        <w:numPr>
          <w:ilvl w:val="0"/>
          <w:numId w:val="22"/>
        </w:numPr>
        <w:spacing w:after="0"/>
        <w:contextualSpacing w:val="0"/>
        <w:rPr>
          <w:rFonts w:asciiTheme="minorHAnsi" w:hAnsiTheme="minorHAnsi" w:cstheme="minorHAnsi"/>
          <w:sz w:val="22"/>
          <w:lang w:val="en-CA"/>
        </w:rPr>
      </w:pPr>
      <w:r w:rsidRPr="008E75FC">
        <w:rPr>
          <w:rFonts w:asciiTheme="minorHAnsi" w:hAnsiTheme="minorHAnsi" w:cstheme="minorHAnsi"/>
          <w:sz w:val="22"/>
          <w:lang w:val="en-CA"/>
        </w:rPr>
        <w:lastRenderedPageBreak/>
        <w:t xml:space="preserve">59.8% of </w:t>
      </w:r>
      <w:r w:rsidRPr="008E75FC">
        <w:rPr>
          <w:rStyle w:val="Strong"/>
          <w:lang w:val="en-CA"/>
        </w:rPr>
        <w:t xml:space="preserve">managers </w:t>
      </w:r>
      <w:r w:rsidRPr="008E75FC">
        <w:rPr>
          <w:rFonts w:asciiTheme="minorHAnsi" w:hAnsiTheme="minorHAnsi" w:cstheme="minorHAnsi"/>
          <w:sz w:val="22"/>
          <w:lang w:val="en-CA"/>
        </w:rPr>
        <w:t>agreed that the New Direction in Staffing has improved the way they hire and appoint persons to and within their organization, compared to 54.4% in organizations of similar size, and 56.1% in the federal public service</w:t>
      </w:r>
    </w:p>
    <w:p w14:paraId="70AC5EA6" w14:textId="77777777" w:rsidR="00AB09A7" w:rsidRPr="008E75FC" w:rsidRDefault="00AB09A7" w:rsidP="00AB09A7">
      <w:pPr>
        <w:pStyle w:val="ListParagraph"/>
        <w:numPr>
          <w:ilvl w:val="0"/>
          <w:numId w:val="22"/>
        </w:numPr>
        <w:spacing w:after="100" w:afterAutospacing="1"/>
        <w:contextualSpacing w:val="0"/>
        <w:rPr>
          <w:rFonts w:asciiTheme="minorHAnsi" w:hAnsiTheme="minorHAnsi" w:cstheme="minorHAnsi"/>
          <w:sz w:val="22"/>
          <w:lang w:val="en-CA"/>
        </w:rPr>
      </w:pPr>
      <w:r w:rsidRPr="008E75FC">
        <w:rPr>
          <w:rFonts w:asciiTheme="minorHAnsi" w:hAnsiTheme="minorHAnsi" w:cstheme="minorHAnsi"/>
          <w:sz w:val="22"/>
          <w:lang w:val="en-CA"/>
        </w:rPr>
        <w:t xml:space="preserve">91.6% of </w:t>
      </w:r>
      <w:r w:rsidRPr="008E75FC">
        <w:rPr>
          <w:rStyle w:val="Strong"/>
          <w:lang w:val="en-CA"/>
        </w:rPr>
        <w:t>managers</w:t>
      </w:r>
      <w:r w:rsidRPr="008E75FC">
        <w:rPr>
          <w:rFonts w:asciiTheme="minorHAnsi" w:hAnsiTheme="minorHAnsi" w:cstheme="minorHAnsi"/>
          <w:sz w:val="22"/>
          <w:lang w:val="en-CA"/>
        </w:rPr>
        <w:t xml:space="preserve"> agreed that within their organization, the administrative process to staff a position is </w:t>
      </w:r>
      <w:r w:rsidRPr="008E75FC">
        <w:rPr>
          <w:rStyle w:val="Strong"/>
          <w:lang w:val="en-CA"/>
        </w:rPr>
        <w:t>burdensome</w:t>
      </w:r>
      <w:r w:rsidRPr="008E75FC">
        <w:rPr>
          <w:rFonts w:asciiTheme="minorHAnsi" w:hAnsiTheme="minorHAnsi" w:cstheme="minorHAnsi"/>
          <w:sz w:val="22"/>
          <w:lang w:val="en-CA"/>
        </w:rPr>
        <w:t>, compared to 88.6% in organizations of similar size, and 87.9% in the federal public service</w:t>
      </w:r>
    </w:p>
    <w:p w14:paraId="1073CA00" w14:textId="77777777" w:rsidR="00244BB9" w:rsidRPr="008E75FC" w:rsidRDefault="00244BB9" w:rsidP="00900F4B">
      <w:pPr>
        <w:rPr>
          <w:rFonts w:asciiTheme="minorHAnsi" w:hAnsiTheme="minorHAnsi" w:cstheme="minorHAnsi"/>
          <w:lang w:val="en-CA"/>
        </w:rPr>
        <w:sectPr w:rsidR="00244BB9" w:rsidRPr="008E75FC" w:rsidSect="002549B0">
          <w:pgSz w:w="15840" w:h="12240" w:orient="landscape"/>
          <w:pgMar w:top="1025" w:right="720" w:bottom="720" w:left="720" w:header="708" w:footer="708" w:gutter="0"/>
          <w:cols w:space="708"/>
          <w:titlePg/>
          <w:docGrid w:linePitch="360"/>
        </w:sectPr>
      </w:pPr>
    </w:p>
    <w:p w14:paraId="09F1086F" w14:textId="77777777" w:rsidR="00C17272" w:rsidRPr="008E75FC" w:rsidRDefault="00C17272" w:rsidP="00C17272">
      <w:pPr>
        <w:pStyle w:val="Heading1"/>
        <w:spacing w:before="120" w:after="120"/>
        <w:rPr>
          <w:sz w:val="40"/>
          <w:lang w:val="en-CA"/>
        </w:rPr>
      </w:pPr>
      <w:r w:rsidRPr="008E75FC">
        <w:rPr>
          <w:rFonts w:eastAsia="Times New Roman"/>
          <w:sz w:val="40"/>
          <w:lang w:val="en-CA"/>
        </w:rPr>
        <w:lastRenderedPageBreak/>
        <w:t>Student program hires</w:t>
      </w:r>
    </w:p>
    <w:p w14:paraId="03F232DA" w14:textId="77777777" w:rsidR="00C17272" w:rsidRPr="008E75FC" w:rsidRDefault="00900F4B" w:rsidP="00C17272">
      <w:pPr>
        <w:keepNext/>
        <w:jc w:val="center"/>
        <w:rPr>
          <w:lang w:val="en-CA"/>
        </w:rPr>
      </w:pPr>
      <w:r w:rsidRPr="008E75FC">
        <w:rPr>
          <w:rFonts w:asciiTheme="minorHAnsi" w:hAnsiTheme="minorHAnsi" w:cstheme="minorHAnsi"/>
          <w:noProof/>
          <w:lang w:val="en-CA" w:eastAsia="en-CA"/>
        </w:rPr>
        <w:drawing>
          <wp:inline distT="0" distB="0" distL="0" distR="0" wp14:anchorId="43F1A4A2" wp14:editId="03A1A5E0">
            <wp:extent cx="5648400" cy="3049200"/>
            <wp:effectExtent l="0" t="0" r="9525" b="18415"/>
            <wp:docPr id="17" name="Chart 17" descr="Student program hires&#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9290F84" w14:textId="3F38EEE5" w:rsidR="00900F4B" w:rsidRPr="008E75FC" w:rsidRDefault="00C17272" w:rsidP="00C17272">
      <w:pPr>
        <w:pStyle w:val="Caption"/>
        <w:spacing w:after="0"/>
        <w:jc w:val="center"/>
        <w:rPr>
          <w:rFonts w:asciiTheme="minorHAnsi" w:hAnsiTheme="minorHAnsi" w:cstheme="minorHAnsi"/>
          <w:i w:val="0"/>
          <w:color w:val="auto"/>
          <w:lang w:val="en-CA"/>
        </w:rPr>
      </w:pPr>
      <w:r w:rsidRPr="008E75FC">
        <w:rPr>
          <w:rFonts w:asciiTheme="minorHAnsi" w:hAnsiTheme="minorHAnsi" w:cstheme="minorHAnsi"/>
          <w:i w:val="0"/>
          <w:color w:val="auto"/>
          <w:lang w:val="en-CA"/>
        </w:rPr>
        <w:t xml:space="preserve">Figure </w:t>
      </w:r>
      <w:r w:rsidRPr="008E75FC">
        <w:rPr>
          <w:rFonts w:asciiTheme="minorHAnsi" w:hAnsiTheme="minorHAnsi" w:cstheme="minorHAnsi"/>
          <w:i w:val="0"/>
          <w:color w:val="auto"/>
          <w:lang w:val="en-CA"/>
        </w:rPr>
        <w:fldChar w:fldCharType="begin"/>
      </w:r>
      <w:r w:rsidRPr="008E75FC">
        <w:rPr>
          <w:rFonts w:asciiTheme="minorHAnsi" w:hAnsiTheme="minorHAnsi" w:cstheme="minorHAnsi"/>
          <w:i w:val="0"/>
          <w:color w:val="auto"/>
          <w:lang w:val="en-CA"/>
        </w:rPr>
        <w:instrText xml:space="preserve"> SEQ Figure \* ARABIC </w:instrText>
      </w:r>
      <w:r w:rsidRPr="008E75FC">
        <w:rPr>
          <w:rFonts w:asciiTheme="minorHAnsi" w:hAnsiTheme="minorHAnsi" w:cstheme="minorHAnsi"/>
          <w:i w:val="0"/>
          <w:color w:val="auto"/>
          <w:lang w:val="en-CA"/>
        </w:rPr>
        <w:fldChar w:fldCharType="separate"/>
      </w:r>
      <w:r w:rsidR="00C57B8B" w:rsidRPr="008E75FC">
        <w:rPr>
          <w:rFonts w:asciiTheme="minorHAnsi" w:hAnsiTheme="minorHAnsi" w:cstheme="minorHAnsi"/>
          <w:i w:val="0"/>
          <w:noProof/>
          <w:color w:val="auto"/>
          <w:lang w:val="en-CA"/>
        </w:rPr>
        <w:t>10</w:t>
      </w:r>
      <w:r w:rsidRPr="008E75FC">
        <w:rPr>
          <w:rFonts w:asciiTheme="minorHAnsi" w:hAnsiTheme="minorHAnsi" w:cstheme="minorHAnsi"/>
          <w:i w:val="0"/>
          <w:color w:val="auto"/>
          <w:lang w:val="en-CA"/>
        </w:rPr>
        <w:fldChar w:fldCharType="end"/>
      </w:r>
      <w:r w:rsidRPr="008E75FC">
        <w:rPr>
          <w:rFonts w:asciiTheme="minorHAnsi" w:hAnsiTheme="minorHAnsi" w:cstheme="minorHAnsi"/>
          <w:i w:val="0"/>
          <w:color w:val="auto"/>
          <w:lang w:val="en-CA"/>
        </w:rPr>
        <w:t xml:space="preserve"> - Student program hires</w:t>
      </w:r>
    </w:p>
    <w:p w14:paraId="60A4B6EE" w14:textId="5BB8210F" w:rsidR="00C17272" w:rsidRPr="008E75FC" w:rsidRDefault="00C17272" w:rsidP="00C17272">
      <w:pPr>
        <w:pStyle w:val="Caption"/>
        <w:keepNext/>
        <w:spacing w:before="240" w:after="0"/>
        <w:jc w:val="center"/>
        <w:rPr>
          <w:rFonts w:asciiTheme="minorHAnsi" w:hAnsiTheme="minorHAnsi" w:cstheme="minorHAnsi"/>
          <w:i w:val="0"/>
          <w:color w:val="auto"/>
          <w:lang w:val="en-CA"/>
        </w:rPr>
      </w:pPr>
      <w:r w:rsidRPr="008E75FC">
        <w:rPr>
          <w:rFonts w:asciiTheme="minorHAnsi" w:hAnsiTheme="minorHAnsi" w:cstheme="minorHAnsi"/>
          <w:i w:val="0"/>
          <w:color w:val="auto"/>
          <w:lang w:val="en-CA"/>
        </w:rPr>
        <w:t xml:space="preserve">Table </w:t>
      </w:r>
      <w:r w:rsidRPr="008E75FC">
        <w:rPr>
          <w:rFonts w:asciiTheme="minorHAnsi" w:hAnsiTheme="minorHAnsi" w:cstheme="minorHAnsi"/>
          <w:i w:val="0"/>
          <w:color w:val="auto"/>
          <w:lang w:val="en-CA"/>
        </w:rPr>
        <w:fldChar w:fldCharType="begin"/>
      </w:r>
      <w:r w:rsidRPr="008E75FC">
        <w:rPr>
          <w:rFonts w:asciiTheme="minorHAnsi" w:hAnsiTheme="minorHAnsi" w:cstheme="minorHAnsi"/>
          <w:i w:val="0"/>
          <w:color w:val="auto"/>
          <w:lang w:val="en-CA"/>
        </w:rPr>
        <w:instrText xml:space="preserve"> SEQ Table \* ARABIC </w:instrText>
      </w:r>
      <w:r w:rsidRPr="008E75FC">
        <w:rPr>
          <w:rFonts w:asciiTheme="minorHAnsi" w:hAnsiTheme="minorHAnsi" w:cstheme="minorHAnsi"/>
          <w:i w:val="0"/>
          <w:color w:val="auto"/>
          <w:lang w:val="en-CA"/>
        </w:rPr>
        <w:fldChar w:fldCharType="separate"/>
      </w:r>
      <w:r w:rsidR="006632C2" w:rsidRPr="008E75FC">
        <w:rPr>
          <w:rFonts w:asciiTheme="minorHAnsi" w:hAnsiTheme="minorHAnsi" w:cstheme="minorHAnsi"/>
          <w:i w:val="0"/>
          <w:noProof/>
          <w:color w:val="auto"/>
          <w:lang w:val="en-CA"/>
        </w:rPr>
        <w:t>13</w:t>
      </w:r>
      <w:r w:rsidRPr="008E75FC">
        <w:rPr>
          <w:rFonts w:asciiTheme="minorHAnsi" w:hAnsiTheme="minorHAnsi" w:cstheme="minorHAnsi"/>
          <w:i w:val="0"/>
          <w:color w:val="auto"/>
          <w:lang w:val="en-CA"/>
        </w:rPr>
        <w:fldChar w:fldCharType="end"/>
      </w:r>
      <w:r w:rsidRPr="008E75FC">
        <w:rPr>
          <w:rFonts w:asciiTheme="minorHAnsi" w:hAnsiTheme="minorHAnsi" w:cstheme="minorHAnsi"/>
          <w:i w:val="0"/>
          <w:color w:val="auto"/>
          <w:lang w:val="en-CA"/>
        </w:rPr>
        <w:t xml:space="preserve"> - Student staffing activities by recruitment program and fiscal year</w:t>
      </w:r>
    </w:p>
    <w:tbl>
      <w:tblPr>
        <w:tblStyle w:val="TableGrid"/>
        <w:tblW w:w="5000" w:type="pct"/>
        <w:jc w:val="center"/>
        <w:tblLook w:val="0020" w:firstRow="1" w:lastRow="0" w:firstColumn="0" w:lastColumn="0" w:noHBand="0" w:noVBand="0"/>
        <w:tblDescription w:val="Student program hires from 2015 to 2020"/>
      </w:tblPr>
      <w:tblGrid>
        <w:gridCol w:w="1979"/>
        <w:gridCol w:w="3684"/>
        <w:gridCol w:w="4113"/>
        <w:gridCol w:w="3523"/>
        <w:gridCol w:w="1091"/>
      </w:tblGrid>
      <w:tr w:rsidR="006632C2" w:rsidRPr="008E75FC" w14:paraId="2E10DFCA" w14:textId="77777777" w:rsidTr="0089643E">
        <w:trPr>
          <w:cantSplit/>
          <w:tblHeader/>
          <w:jc w:val="center"/>
        </w:trPr>
        <w:tc>
          <w:tcPr>
            <w:tcW w:w="688" w:type="pct"/>
          </w:tcPr>
          <w:p w14:paraId="687F6B85" w14:textId="77777777" w:rsidR="00AB09A7" w:rsidRPr="008E75FC" w:rsidRDefault="00AB09A7" w:rsidP="00C17272">
            <w:pPr>
              <w:pStyle w:val="TableTitle"/>
              <w:rPr>
                <w:color w:val="auto"/>
                <w:sz w:val="22"/>
                <w:lang w:val="en-CA"/>
              </w:rPr>
            </w:pPr>
            <w:r w:rsidRPr="008E75FC">
              <w:rPr>
                <w:color w:val="auto"/>
                <w:sz w:val="22"/>
                <w:lang w:val="en-CA"/>
              </w:rPr>
              <w:t>Fiscal year</w:t>
            </w:r>
          </w:p>
        </w:tc>
        <w:tc>
          <w:tcPr>
            <w:tcW w:w="1280" w:type="pct"/>
          </w:tcPr>
          <w:p w14:paraId="7B4CBE01" w14:textId="77777777" w:rsidR="00AB09A7" w:rsidRPr="008E75FC" w:rsidRDefault="00AB09A7" w:rsidP="00C17272">
            <w:pPr>
              <w:pStyle w:val="TableTitle"/>
              <w:rPr>
                <w:color w:val="auto"/>
                <w:sz w:val="22"/>
                <w:lang w:val="en-CA"/>
              </w:rPr>
            </w:pPr>
            <w:r w:rsidRPr="008E75FC">
              <w:rPr>
                <w:color w:val="auto"/>
                <w:sz w:val="22"/>
                <w:lang w:val="en-CA"/>
              </w:rPr>
              <w:t>Federal Student Work Experience Program</w:t>
            </w:r>
          </w:p>
        </w:tc>
        <w:tc>
          <w:tcPr>
            <w:tcW w:w="1429" w:type="pct"/>
          </w:tcPr>
          <w:p w14:paraId="4A2233C2" w14:textId="77777777" w:rsidR="00AB09A7" w:rsidRPr="008E75FC" w:rsidRDefault="00AB09A7" w:rsidP="00C17272">
            <w:pPr>
              <w:pStyle w:val="TableTitle"/>
              <w:rPr>
                <w:color w:val="auto"/>
                <w:sz w:val="22"/>
                <w:lang w:val="en-CA"/>
              </w:rPr>
            </w:pPr>
            <w:r w:rsidRPr="008E75FC">
              <w:rPr>
                <w:color w:val="auto"/>
                <w:sz w:val="22"/>
                <w:lang w:val="en-CA"/>
              </w:rPr>
              <w:t>Post-Secondary Co-op/Internship Program</w:t>
            </w:r>
          </w:p>
        </w:tc>
        <w:tc>
          <w:tcPr>
            <w:tcW w:w="1224" w:type="pct"/>
          </w:tcPr>
          <w:p w14:paraId="1D287C02" w14:textId="77777777" w:rsidR="00AB09A7" w:rsidRPr="008E75FC" w:rsidRDefault="00AB09A7" w:rsidP="00C17272">
            <w:pPr>
              <w:pStyle w:val="TableTitle"/>
              <w:rPr>
                <w:color w:val="auto"/>
                <w:sz w:val="22"/>
                <w:lang w:val="en-CA"/>
              </w:rPr>
            </w:pPr>
            <w:r w:rsidRPr="008E75FC">
              <w:rPr>
                <w:color w:val="auto"/>
                <w:sz w:val="22"/>
                <w:lang w:val="en-CA"/>
              </w:rPr>
              <w:t>Research Affiliate Program</w:t>
            </w:r>
          </w:p>
        </w:tc>
        <w:tc>
          <w:tcPr>
            <w:tcW w:w="379" w:type="pct"/>
          </w:tcPr>
          <w:p w14:paraId="352A2D19" w14:textId="77777777" w:rsidR="00AB09A7" w:rsidRPr="008E75FC" w:rsidRDefault="00AB09A7" w:rsidP="00C17272">
            <w:pPr>
              <w:pStyle w:val="TableTitle"/>
              <w:rPr>
                <w:color w:val="auto"/>
                <w:sz w:val="22"/>
                <w:lang w:val="en-CA"/>
              </w:rPr>
            </w:pPr>
            <w:r w:rsidRPr="008E75FC">
              <w:rPr>
                <w:color w:val="auto"/>
                <w:sz w:val="22"/>
                <w:lang w:val="en-CA"/>
              </w:rPr>
              <w:t>Total</w:t>
            </w:r>
          </w:p>
        </w:tc>
      </w:tr>
      <w:tr w:rsidR="006632C2" w:rsidRPr="008E75FC" w14:paraId="5608C2EA" w14:textId="77777777" w:rsidTr="0089643E">
        <w:trPr>
          <w:cantSplit/>
          <w:tblHeader/>
          <w:jc w:val="center"/>
        </w:trPr>
        <w:tc>
          <w:tcPr>
            <w:tcW w:w="688" w:type="pct"/>
          </w:tcPr>
          <w:p w14:paraId="58661BB4"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2015 to 2016</w:t>
            </w:r>
          </w:p>
        </w:tc>
        <w:tc>
          <w:tcPr>
            <w:tcW w:w="1280" w:type="pct"/>
          </w:tcPr>
          <w:p w14:paraId="6041A1A1"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286</w:t>
            </w:r>
          </w:p>
        </w:tc>
        <w:tc>
          <w:tcPr>
            <w:tcW w:w="1429" w:type="pct"/>
          </w:tcPr>
          <w:p w14:paraId="50E28424"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347</w:t>
            </w:r>
          </w:p>
        </w:tc>
        <w:tc>
          <w:tcPr>
            <w:tcW w:w="1224" w:type="pct"/>
          </w:tcPr>
          <w:p w14:paraId="1CF42D13"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1</w:t>
            </w:r>
          </w:p>
        </w:tc>
        <w:tc>
          <w:tcPr>
            <w:tcW w:w="379" w:type="pct"/>
          </w:tcPr>
          <w:p w14:paraId="5E71FD21"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634</w:t>
            </w:r>
          </w:p>
        </w:tc>
      </w:tr>
      <w:tr w:rsidR="006632C2" w:rsidRPr="008E75FC" w14:paraId="6AFA0DFC" w14:textId="77777777" w:rsidTr="0089643E">
        <w:trPr>
          <w:cantSplit/>
          <w:tblHeader/>
          <w:jc w:val="center"/>
        </w:trPr>
        <w:tc>
          <w:tcPr>
            <w:tcW w:w="688" w:type="pct"/>
          </w:tcPr>
          <w:p w14:paraId="292A6260"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2016 to 2017</w:t>
            </w:r>
          </w:p>
        </w:tc>
        <w:tc>
          <w:tcPr>
            <w:tcW w:w="1280" w:type="pct"/>
          </w:tcPr>
          <w:p w14:paraId="5A0CCEC5"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305</w:t>
            </w:r>
          </w:p>
        </w:tc>
        <w:tc>
          <w:tcPr>
            <w:tcW w:w="1429" w:type="pct"/>
          </w:tcPr>
          <w:p w14:paraId="386549DD"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262</w:t>
            </w:r>
          </w:p>
        </w:tc>
        <w:tc>
          <w:tcPr>
            <w:tcW w:w="1224" w:type="pct"/>
          </w:tcPr>
          <w:p w14:paraId="20CF6526"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0</w:t>
            </w:r>
          </w:p>
        </w:tc>
        <w:tc>
          <w:tcPr>
            <w:tcW w:w="379" w:type="pct"/>
          </w:tcPr>
          <w:p w14:paraId="4F682FAE"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567</w:t>
            </w:r>
          </w:p>
        </w:tc>
      </w:tr>
      <w:tr w:rsidR="006632C2" w:rsidRPr="008E75FC" w14:paraId="0E1C363F" w14:textId="77777777" w:rsidTr="0089643E">
        <w:trPr>
          <w:cantSplit/>
          <w:tblHeader/>
          <w:jc w:val="center"/>
        </w:trPr>
        <w:tc>
          <w:tcPr>
            <w:tcW w:w="688" w:type="pct"/>
          </w:tcPr>
          <w:p w14:paraId="15F76C58"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2017 to 2018</w:t>
            </w:r>
          </w:p>
        </w:tc>
        <w:tc>
          <w:tcPr>
            <w:tcW w:w="1280" w:type="pct"/>
          </w:tcPr>
          <w:p w14:paraId="50041FBE"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290</w:t>
            </w:r>
          </w:p>
        </w:tc>
        <w:tc>
          <w:tcPr>
            <w:tcW w:w="1429" w:type="pct"/>
          </w:tcPr>
          <w:p w14:paraId="4942A991"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250</w:t>
            </w:r>
          </w:p>
        </w:tc>
        <w:tc>
          <w:tcPr>
            <w:tcW w:w="1224" w:type="pct"/>
          </w:tcPr>
          <w:p w14:paraId="1D700EF2"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1</w:t>
            </w:r>
          </w:p>
        </w:tc>
        <w:tc>
          <w:tcPr>
            <w:tcW w:w="379" w:type="pct"/>
          </w:tcPr>
          <w:p w14:paraId="6EFA29A3"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541</w:t>
            </w:r>
          </w:p>
        </w:tc>
      </w:tr>
      <w:tr w:rsidR="006632C2" w:rsidRPr="008E75FC" w14:paraId="1BF017D3" w14:textId="77777777" w:rsidTr="0089643E">
        <w:trPr>
          <w:cantSplit/>
          <w:tblHeader/>
          <w:jc w:val="center"/>
        </w:trPr>
        <w:tc>
          <w:tcPr>
            <w:tcW w:w="688" w:type="pct"/>
          </w:tcPr>
          <w:p w14:paraId="6B59D53E"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2018 to 2019</w:t>
            </w:r>
          </w:p>
        </w:tc>
        <w:tc>
          <w:tcPr>
            <w:tcW w:w="1280" w:type="pct"/>
          </w:tcPr>
          <w:p w14:paraId="70569ADD"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285</w:t>
            </w:r>
          </w:p>
        </w:tc>
        <w:tc>
          <w:tcPr>
            <w:tcW w:w="1429" w:type="pct"/>
          </w:tcPr>
          <w:p w14:paraId="45800D7E"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235</w:t>
            </w:r>
          </w:p>
        </w:tc>
        <w:tc>
          <w:tcPr>
            <w:tcW w:w="1224" w:type="pct"/>
          </w:tcPr>
          <w:p w14:paraId="5C926254"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4</w:t>
            </w:r>
          </w:p>
        </w:tc>
        <w:tc>
          <w:tcPr>
            <w:tcW w:w="379" w:type="pct"/>
          </w:tcPr>
          <w:p w14:paraId="76D31C42"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524</w:t>
            </w:r>
          </w:p>
        </w:tc>
      </w:tr>
      <w:tr w:rsidR="006632C2" w:rsidRPr="008E75FC" w14:paraId="55FACF66" w14:textId="77777777" w:rsidTr="0089643E">
        <w:trPr>
          <w:cantSplit/>
          <w:tblHeader/>
          <w:jc w:val="center"/>
        </w:trPr>
        <w:tc>
          <w:tcPr>
            <w:tcW w:w="688" w:type="pct"/>
          </w:tcPr>
          <w:p w14:paraId="64CEB944"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2019 to 2020</w:t>
            </w:r>
          </w:p>
        </w:tc>
        <w:tc>
          <w:tcPr>
            <w:tcW w:w="1280" w:type="pct"/>
          </w:tcPr>
          <w:p w14:paraId="69A647B5"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324</w:t>
            </w:r>
          </w:p>
        </w:tc>
        <w:tc>
          <w:tcPr>
            <w:tcW w:w="1429" w:type="pct"/>
          </w:tcPr>
          <w:p w14:paraId="2B19DB13"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193</w:t>
            </w:r>
          </w:p>
        </w:tc>
        <w:tc>
          <w:tcPr>
            <w:tcW w:w="1224" w:type="pct"/>
          </w:tcPr>
          <w:p w14:paraId="19F62618"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0</w:t>
            </w:r>
          </w:p>
        </w:tc>
        <w:tc>
          <w:tcPr>
            <w:tcW w:w="379" w:type="pct"/>
          </w:tcPr>
          <w:p w14:paraId="1320376B"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517</w:t>
            </w:r>
          </w:p>
        </w:tc>
      </w:tr>
    </w:tbl>
    <w:p w14:paraId="71AF7494" w14:textId="77777777" w:rsidR="00244BB9" w:rsidRPr="008E75FC" w:rsidRDefault="00244BB9" w:rsidP="00900F4B">
      <w:pPr>
        <w:rPr>
          <w:rFonts w:asciiTheme="minorHAnsi" w:hAnsiTheme="minorHAnsi" w:cstheme="minorHAnsi"/>
          <w:lang w:val="en-CA"/>
        </w:rPr>
      </w:pPr>
    </w:p>
    <w:p w14:paraId="6CE0402B" w14:textId="77777777" w:rsidR="00244BB9" w:rsidRPr="008E75FC" w:rsidRDefault="00244BB9" w:rsidP="00900F4B">
      <w:pPr>
        <w:rPr>
          <w:rFonts w:asciiTheme="minorHAnsi" w:hAnsiTheme="minorHAnsi" w:cstheme="minorHAnsi"/>
          <w:lang w:val="en-CA"/>
        </w:rPr>
        <w:sectPr w:rsidR="00244BB9" w:rsidRPr="008E75FC" w:rsidSect="002549B0">
          <w:pgSz w:w="15840" w:h="12240" w:orient="landscape"/>
          <w:pgMar w:top="1025" w:right="720" w:bottom="720" w:left="720" w:header="708" w:footer="708" w:gutter="0"/>
          <w:cols w:space="708"/>
          <w:titlePg/>
          <w:docGrid w:linePitch="360"/>
        </w:sectPr>
      </w:pPr>
    </w:p>
    <w:p w14:paraId="047729EB" w14:textId="77777777" w:rsidR="006632C2" w:rsidRPr="008E75FC" w:rsidRDefault="006632C2" w:rsidP="006632C2">
      <w:pPr>
        <w:pStyle w:val="Heading1"/>
        <w:spacing w:before="120" w:after="120"/>
        <w:rPr>
          <w:sz w:val="40"/>
          <w:lang w:val="en-CA"/>
        </w:rPr>
      </w:pPr>
      <w:r w:rsidRPr="008E75FC">
        <w:rPr>
          <w:rFonts w:eastAsia="Times New Roman"/>
          <w:sz w:val="40"/>
          <w:lang w:val="en-CA"/>
        </w:rPr>
        <w:lastRenderedPageBreak/>
        <w:t>External indeterminate and term hiring activities: Post-Secondary Recruitment Program and former student hires</w:t>
      </w:r>
    </w:p>
    <w:p w14:paraId="4526A454" w14:textId="77777777" w:rsidR="006632C2" w:rsidRPr="008E75FC" w:rsidRDefault="00244BB9" w:rsidP="006632C2">
      <w:pPr>
        <w:keepNext/>
        <w:jc w:val="center"/>
        <w:rPr>
          <w:lang w:val="en-CA"/>
        </w:rPr>
      </w:pPr>
      <w:r w:rsidRPr="008E75FC">
        <w:rPr>
          <w:rFonts w:asciiTheme="minorHAnsi" w:hAnsiTheme="minorHAnsi" w:cstheme="minorHAnsi"/>
          <w:noProof/>
          <w:lang w:val="en-CA" w:eastAsia="en-CA"/>
        </w:rPr>
        <w:drawing>
          <wp:inline distT="0" distB="0" distL="0" distR="0" wp14:anchorId="4E6A9216" wp14:editId="70B2F251">
            <wp:extent cx="5648400" cy="3049200"/>
            <wp:effectExtent l="0" t="0" r="9525" b="18415"/>
            <wp:docPr id="2" name="Chart 2" descr="External indeterminate and term hiring activities: Post-Secondary Recruitment Program and former student hires&#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789035C" w14:textId="508CCA42" w:rsidR="00244BB9" w:rsidRPr="008E75FC" w:rsidRDefault="006632C2" w:rsidP="006632C2">
      <w:pPr>
        <w:pStyle w:val="Caption"/>
        <w:spacing w:after="0"/>
        <w:jc w:val="center"/>
        <w:rPr>
          <w:rFonts w:asciiTheme="minorHAnsi" w:hAnsiTheme="minorHAnsi" w:cstheme="minorHAnsi"/>
          <w:i w:val="0"/>
          <w:color w:val="auto"/>
          <w:lang w:val="en-CA"/>
        </w:rPr>
      </w:pPr>
      <w:r w:rsidRPr="008E75FC">
        <w:rPr>
          <w:rFonts w:asciiTheme="minorHAnsi" w:hAnsiTheme="minorHAnsi" w:cstheme="minorHAnsi"/>
          <w:i w:val="0"/>
          <w:color w:val="auto"/>
          <w:lang w:val="en-CA"/>
        </w:rPr>
        <w:t xml:space="preserve">Figure </w:t>
      </w:r>
      <w:r w:rsidRPr="008E75FC">
        <w:rPr>
          <w:rFonts w:asciiTheme="minorHAnsi" w:hAnsiTheme="minorHAnsi" w:cstheme="minorHAnsi"/>
          <w:i w:val="0"/>
          <w:color w:val="auto"/>
          <w:lang w:val="en-CA"/>
        </w:rPr>
        <w:fldChar w:fldCharType="begin"/>
      </w:r>
      <w:r w:rsidRPr="008E75FC">
        <w:rPr>
          <w:rFonts w:asciiTheme="minorHAnsi" w:hAnsiTheme="minorHAnsi" w:cstheme="minorHAnsi"/>
          <w:i w:val="0"/>
          <w:color w:val="auto"/>
          <w:lang w:val="en-CA"/>
        </w:rPr>
        <w:instrText xml:space="preserve"> SEQ Figure \* ARABIC </w:instrText>
      </w:r>
      <w:r w:rsidRPr="008E75FC">
        <w:rPr>
          <w:rFonts w:asciiTheme="minorHAnsi" w:hAnsiTheme="minorHAnsi" w:cstheme="minorHAnsi"/>
          <w:i w:val="0"/>
          <w:color w:val="auto"/>
          <w:lang w:val="en-CA"/>
        </w:rPr>
        <w:fldChar w:fldCharType="separate"/>
      </w:r>
      <w:r w:rsidR="00C57B8B" w:rsidRPr="008E75FC">
        <w:rPr>
          <w:rFonts w:asciiTheme="minorHAnsi" w:hAnsiTheme="minorHAnsi" w:cstheme="minorHAnsi"/>
          <w:i w:val="0"/>
          <w:noProof/>
          <w:color w:val="auto"/>
          <w:lang w:val="en-CA"/>
        </w:rPr>
        <w:t>11</w:t>
      </w:r>
      <w:r w:rsidRPr="008E75FC">
        <w:rPr>
          <w:rFonts w:asciiTheme="minorHAnsi" w:hAnsiTheme="minorHAnsi" w:cstheme="minorHAnsi"/>
          <w:i w:val="0"/>
          <w:color w:val="auto"/>
          <w:lang w:val="en-CA"/>
        </w:rPr>
        <w:fldChar w:fldCharType="end"/>
      </w:r>
      <w:r w:rsidRPr="008E75FC">
        <w:rPr>
          <w:rFonts w:asciiTheme="minorHAnsi" w:hAnsiTheme="minorHAnsi" w:cstheme="minorHAnsi"/>
          <w:i w:val="0"/>
          <w:color w:val="auto"/>
          <w:lang w:val="en-CA"/>
        </w:rPr>
        <w:t xml:space="preserve"> - External indeterminate and term hiring activities: Post-Secondary Recruitment Program and former student hires</w:t>
      </w:r>
    </w:p>
    <w:p w14:paraId="58B090A5" w14:textId="7A10419B" w:rsidR="006632C2" w:rsidRPr="008E75FC" w:rsidRDefault="006632C2" w:rsidP="006632C2">
      <w:pPr>
        <w:pStyle w:val="Caption"/>
        <w:keepNext/>
        <w:spacing w:before="240" w:after="0"/>
        <w:jc w:val="center"/>
        <w:rPr>
          <w:rFonts w:asciiTheme="minorHAnsi" w:hAnsiTheme="minorHAnsi" w:cstheme="minorHAnsi"/>
          <w:i w:val="0"/>
          <w:color w:val="auto"/>
          <w:lang w:val="en-CA"/>
        </w:rPr>
      </w:pPr>
      <w:r w:rsidRPr="008E75FC">
        <w:rPr>
          <w:rFonts w:asciiTheme="minorHAnsi" w:hAnsiTheme="minorHAnsi" w:cstheme="minorHAnsi"/>
          <w:i w:val="0"/>
          <w:color w:val="auto"/>
          <w:lang w:val="en-CA"/>
        </w:rPr>
        <w:t xml:space="preserve">Table </w:t>
      </w:r>
      <w:r w:rsidRPr="008E75FC">
        <w:rPr>
          <w:rFonts w:asciiTheme="minorHAnsi" w:hAnsiTheme="minorHAnsi" w:cstheme="minorHAnsi"/>
          <w:i w:val="0"/>
          <w:color w:val="auto"/>
          <w:lang w:val="en-CA"/>
        </w:rPr>
        <w:fldChar w:fldCharType="begin"/>
      </w:r>
      <w:r w:rsidRPr="008E75FC">
        <w:rPr>
          <w:rFonts w:asciiTheme="minorHAnsi" w:hAnsiTheme="minorHAnsi" w:cstheme="minorHAnsi"/>
          <w:i w:val="0"/>
          <w:color w:val="auto"/>
          <w:lang w:val="en-CA"/>
        </w:rPr>
        <w:instrText xml:space="preserve"> SEQ Table \* ARABIC </w:instrText>
      </w:r>
      <w:r w:rsidRPr="008E75FC">
        <w:rPr>
          <w:rFonts w:asciiTheme="minorHAnsi" w:hAnsiTheme="minorHAnsi" w:cstheme="minorHAnsi"/>
          <w:i w:val="0"/>
          <w:color w:val="auto"/>
          <w:lang w:val="en-CA"/>
        </w:rPr>
        <w:fldChar w:fldCharType="separate"/>
      </w:r>
      <w:r w:rsidRPr="008E75FC">
        <w:rPr>
          <w:rFonts w:asciiTheme="minorHAnsi" w:hAnsiTheme="minorHAnsi" w:cstheme="minorHAnsi"/>
          <w:i w:val="0"/>
          <w:noProof/>
          <w:color w:val="auto"/>
          <w:lang w:val="en-CA"/>
        </w:rPr>
        <w:t>14</w:t>
      </w:r>
      <w:r w:rsidRPr="008E75FC">
        <w:rPr>
          <w:rFonts w:asciiTheme="minorHAnsi" w:hAnsiTheme="minorHAnsi" w:cstheme="minorHAnsi"/>
          <w:i w:val="0"/>
          <w:color w:val="auto"/>
          <w:lang w:val="en-CA"/>
        </w:rPr>
        <w:fldChar w:fldCharType="end"/>
      </w:r>
      <w:r w:rsidRPr="008E75FC">
        <w:rPr>
          <w:rFonts w:asciiTheme="minorHAnsi" w:hAnsiTheme="minorHAnsi" w:cstheme="minorHAnsi"/>
          <w:i w:val="0"/>
          <w:color w:val="auto"/>
          <w:lang w:val="en-CA"/>
        </w:rPr>
        <w:t xml:space="preserve"> - External indeterminate and term hiring activities: Post-Secondary Recruitment Program and former student hires by fiscal year</w:t>
      </w:r>
    </w:p>
    <w:tbl>
      <w:tblPr>
        <w:tblStyle w:val="TableGrid"/>
        <w:tblW w:w="5000" w:type="pct"/>
        <w:jc w:val="center"/>
        <w:tblLook w:val="0020" w:firstRow="1" w:lastRow="0" w:firstColumn="0" w:lastColumn="0" w:noHBand="0" w:noVBand="0"/>
        <w:tblDescription w:val="Post-Secondary Recruitment Program and former student hires"/>
      </w:tblPr>
      <w:tblGrid>
        <w:gridCol w:w="3396"/>
        <w:gridCol w:w="6438"/>
        <w:gridCol w:w="4556"/>
      </w:tblGrid>
      <w:tr w:rsidR="006632C2" w:rsidRPr="008E75FC" w14:paraId="394AD73F" w14:textId="77777777" w:rsidTr="0089643E">
        <w:trPr>
          <w:cantSplit/>
          <w:tblHeader/>
          <w:jc w:val="center"/>
        </w:trPr>
        <w:tc>
          <w:tcPr>
            <w:tcW w:w="1180" w:type="pct"/>
          </w:tcPr>
          <w:p w14:paraId="1889136E" w14:textId="77777777" w:rsidR="00AB09A7" w:rsidRPr="008E75FC" w:rsidRDefault="00AB09A7" w:rsidP="006632C2">
            <w:pPr>
              <w:pStyle w:val="TableTitle"/>
              <w:rPr>
                <w:color w:val="auto"/>
                <w:sz w:val="22"/>
                <w:lang w:val="en-CA"/>
              </w:rPr>
            </w:pPr>
            <w:r w:rsidRPr="008E75FC">
              <w:rPr>
                <w:color w:val="auto"/>
                <w:sz w:val="22"/>
                <w:lang w:val="en-CA"/>
              </w:rPr>
              <w:t>Fiscal year</w:t>
            </w:r>
          </w:p>
        </w:tc>
        <w:tc>
          <w:tcPr>
            <w:tcW w:w="2237" w:type="pct"/>
          </w:tcPr>
          <w:p w14:paraId="5DBB2D70" w14:textId="77777777" w:rsidR="00AB09A7" w:rsidRPr="008E75FC" w:rsidRDefault="00AB09A7" w:rsidP="006632C2">
            <w:pPr>
              <w:pStyle w:val="TableTitle"/>
              <w:rPr>
                <w:color w:val="auto"/>
                <w:sz w:val="22"/>
                <w:lang w:val="en-CA"/>
              </w:rPr>
            </w:pPr>
            <w:r w:rsidRPr="008E75FC">
              <w:rPr>
                <w:color w:val="auto"/>
                <w:sz w:val="22"/>
                <w:lang w:val="en-CA"/>
              </w:rPr>
              <w:t>Post-Secondary Recruitment Program hires</w:t>
            </w:r>
          </w:p>
        </w:tc>
        <w:tc>
          <w:tcPr>
            <w:tcW w:w="1583" w:type="pct"/>
          </w:tcPr>
          <w:p w14:paraId="70CB10A7" w14:textId="77777777" w:rsidR="00AB09A7" w:rsidRPr="008E75FC" w:rsidRDefault="00AB09A7" w:rsidP="006632C2">
            <w:pPr>
              <w:pStyle w:val="TableTitle"/>
              <w:rPr>
                <w:color w:val="auto"/>
                <w:sz w:val="22"/>
                <w:lang w:val="en-CA"/>
              </w:rPr>
            </w:pPr>
            <w:r w:rsidRPr="008E75FC">
              <w:rPr>
                <w:color w:val="auto"/>
                <w:sz w:val="22"/>
                <w:lang w:val="en-CA"/>
              </w:rPr>
              <w:t>Hiring of former students</w:t>
            </w:r>
          </w:p>
        </w:tc>
      </w:tr>
      <w:tr w:rsidR="006632C2" w:rsidRPr="008E75FC" w14:paraId="5765A89A" w14:textId="77777777" w:rsidTr="0089643E">
        <w:trPr>
          <w:cantSplit/>
          <w:tblHeader/>
          <w:jc w:val="center"/>
        </w:trPr>
        <w:tc>
          <w:tcPr>
            <w:tcW w:w="1180" w:type="pct"/>
          </w:tcPr>
          <w:p w14:paraId="07305A0A"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2015 to 2016</w:t>
            </w:r>
          </w:p>
        </w:tc>
        <w:tc>
          <w:tcPr>
            <w:tcW w:w="2237" w:type="pct"/>
          </w:tcPr>
          <w:p w14:paraId="64FAF66A"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6</w:t>
            </w:r>
          </w:p>
        </w:tc>
        <w:tc>
          <w:tcPr>
            <w:tcW w:w="1583" w:type="pct"/>
          </w:tcPr>
          <w:p w14:paraId="0ACC36F9"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66</w:t>
            </w:r>
          </w:p>
        </w:tc>
      </w:tr>
      <w:tr w:rsidR="006632C2" w:rsidRPr="008E75FC" w14:paraId="49C54B67" w14:textId="77777777" w:rsidTr="0089643E">
        <w:trPr>
          <w:cantSplit/>
          <w:tblHeader/>
          <w:jc w:val="center"/>
        </w:trPr>
        <w:tc>
          <w:tcPr>
            <w:tcW w:w="1180" w:type="pct"/>
          </w:tcPr>
          <w:p w14:paraId="7201F3FC"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2016 to 2017</w:t>
            </w:r>
          </w:p>
        </w:tc>
        <w:tc>
          <w:tcPr>
            <w:tcW w:w="2237" w:type="pct"/>
          </w:tcPr>
          <w:p w14:paraId="4FF9F4CB"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14</w:t>
            </w:r>
          </w:p>
        </w:tc>
        <w:tc>
          <w:tcPr>
            <w:tcW w:w="1583" w:type="pct"/>
          </w:tcPr>
          <w:p w14:paraId="4330FF77"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148</w:t>
            </w:r>
          </w:p>
        </w:tc>
      </w:tr>
      <w:tr w:rsidR="006632C2" w:rsidRPr="008E75FC" w14:paraId="6BC6AD8D" w14:textId="77777777" w:rsidTr="0089643E">
        <w:trPr>
          <w:cantSplit/>
          <w:tblHeader/>
          <w:jc w:val="center"/>
        </w:trPr>
        <w:tc>
          <w:tcPr>
            <w:tcW w:w="1180" w:type="pct"/>
          </w:tcPr>
          <w:p w14:paraId="30EA79B9"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2017 to 2018</w:t>
            </w:r>
          </w:p>
        </w:tc>
        <w:tc>
          <w:tcPr>
            <w:tcW w:w="2237" w:type="pct"/>
          </w:tcPr>
          <w:p w14:paraId="2E4C76BD"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10</w:t>
            </w:r>
          </w:p>
        </w:tc>
        <w:tc>
          <w:tcPr>
            <w:tcW w:w="1583" w:type="pct"/>
          </w:tcPr>
          <w:p w14:paraId="467403E8"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142</w:t>
            </w:r>
          </w:p>
        </w:tc>
      </w:tr>
      <w:tr w:rsidR="006632C2" w:rsidRPr="008E75FC" w14:paraId="7C9F17A0" w14:textId="77777777" w:rsidTr="0089643E">
        <w:trPr>
          <w:cantSplit/>
          <w:tblHeader/>
          <w:jc w:val="center"/>
        </w:trPr>
        <w:tc>
          <w:tcPr>
            <w:tcW w:w="1180" w:type="pct"/>
          </w:tcPr>
          <w:p w14:paraId="3FFCE4FF"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2018 to 2019</w:t>
            </w:r>
          </w:p>
        </w:tc>
        <w:tc>
          <w:tcPr>
            <w:tcW w:w="2237" w:type="pct"/>
          </w:tcPr>
          <w:p w14:paraId="63E9DE54"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12</w:t>
            </w:r>
          </w:p>
        </w:tc>
        <w:tc>
          <w:tcPr>
            <w:tcW w:w="1583" w:type="pct"/>
          </w:tcPr>
          <w:p w14:paraId="1E033899"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146</w:t>
            </w:r>
          </w:p>
        </w:tc>
      </w:tr>
      <w:tr w:rsidR="006632C2" w:rsidRPr="008E75FC" w14:paraId="52999F25" w14:textId="77777777" w:rsidTr="0089643E">
        <w:trPr>
          <w:cantSplit/>
          <w:tblHeader/>
          <w:jc w:val="center"/>
        </w:trPr>
        <w:tc>
          <w:tcPr>
            <w:tcW w:w="1180" w:type="pct"/>
          </w:tcPr>
          <w:p w14:paraId="7E5A515A" w14:textId="77777777" w:rsidR="00AB09A7" w:rsidRPr="008E75FC" w:rsidRDefault="00AB09A7" w:rsidP="00775CE4">
            <w:pPr>
              <w:autoSpaceDE w:val="0"/>
              <w:autoSpaceDN w:val="0"/>
              <w:adjustRightInd w:val="0"/>
              <w:rPr>
                <w:rFonts w:asciiTheme="minorHAnsi" w:hAnsiTheme="minorHAnsi" w:cstheme="minorHAnsi"/>
                <w:sz w:val="22"/>
                <w:szCs w:val="24"/>
                <w:lang w:val="en-CA"/>
              </w:rPr>
            </w:pPr>
            <w:r w:rsidRPr="008E75FC">
              <w:rPr>
                <w:rFonts w:asciiTheme="minorHAnsi" w:hAnsiTheme="minorHAnsi" w:cstheme="minorHAnsi"/>
                <w:sz w:val="22"/>
                <w:szCs w:val="24"/>
                <w:lang w:val="en-CA"/>
              </w:rPr>
              <w:t>2019 to 2020</w:t>
            </w:r>
          </w:p>
        </w:tc>
        <w:tc>
          <w:tcPr>
            <w:tcW w:w="2237" w:type="pct"/>
          </w:tcPr>
          <w:p w14:paraId="69EFF030"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12</w:t>
            </w:r>
          </w:p>
        </w:tc>
        <w:tc>
          <w:tcPr>
            <w:tcW w:w="1583" w:type="pct"/>
          </w:tcPr>
          <w:p w14:paraId="34DE6370" w14:textId="77777777" w:rsidR="00AB09A7" w:rsidRPr="008E75FC" w:rsidRDefault="00AB09A7" w:rsidP="00775CE4">
            <w:pPr>
              <w:autoSpaceDE w:val="0"/>
              <w:autoSpaceDN w:val="0"/>
              <w:adjustRightInd w:val="0"/>
              <w:jc w:val="center"/>
              <w:rPr>
                <w:rFonts w:asciiTheme="minorHAnsi" w:hAnsiTheme="minorHAnsi" w:cstheme="minorHAnsi"/>
                <w:sz w:val="22"/>
                <w:szCs w:val="24"/>
                <w:lang w:val="en-CA"/>
              </w:rPr>
            </w:pPr>
            <w:r w:rsidRPr="008E75FC">
              <w:rPr>
                <w:rFonts w:asciiTheme="minorHAnsi" w:hAnsiTheme="minorHAnsi" w:cstheme="minorHAnsi"/>
                <w:sz w:val="22"/>
                <w:szCs w:val="24"/>
                <w:lang w:val="en-CA"/>
              </w:rPr>
              <w:t>161</w:t>
            </w:r>
          </w:p>
        </w:tc>
      </w:tr>
    </w:tbl>
    <w:p w14:paraId="6A7B3803" w14:textId="77777777" w:rsidR="00AB09A7" w:rsidRPr="008E75FC" w:rsidRDefault="00AB09A7" w:rsidP="00AB09A7">
      <w:pPr>
        <w:rPr>
          <w:rFonts w:asciiTheme="minorHAnsi" w:hAnsiTheme="minorHAnsi" w:cstheme="minorHAnsi"/>
          <w:sz w:val="22"/>
          <w:szCs w:val="24"/>
          <w:lang w:val="en-CA"/>
        </w:rPr>
      </w:pPr>
      <w:r w:rsidRPr="008E75FC">
        <w:rPr>
          <w:rFonts w:asciiTheme="minorHAnsi" w:hAnsiTheme="minorHAnsi" w:cstheme="minorHAnsi"/>
          <w:sz w:val="22"/>
          <w:szCs w:val="24"/>
          <w:lang w:val="en-CA"/>
        </w:rPr>
        <w:t>Hiring of former students includes indeterminate and term hires with experience in a federal student recruitment program within the last 10 years.</w:t>
      </w:r>
    </w:p>
    <w:p w14:paraId="0CB6A249" w14:textId="77777777" w:rsidR="00244BB9" w:rsidRPr="008E75FC" w:rsidRDefault="00244BB9" w:rsidP="00900F4B">
      <w:pPr>
        <w:rPr>
          <w:rFonts w:asciiTheme="minorHAnsi" w:hAnsiTheme="minorHAnsi" w:cstheme="minorHAnsi"/>
          <w:lang w:val="en-CA"/>
        </w:rPr>
        <w:sectPr w:rsidR="00244BB9" w:rsidRPr="008E75FC" w:rsidSect="002549B0">
          <w:pgSz w:w="15840" w:h="12240" w:orient="landscape"/>
          <w:pgMar w:top="1025" w:right="720" w:bottom="720" w:left="720" w:header="708" w:footer="708" w:gutter="0"/>
          <w:cols w:space="708"/>
          <w:titlePg/>
          <w:docGrid w:linePitch="360"/>
        </w:sectPr>
      </w:pPr>
    </w:p>
    <w:p w14:paraId="08A6E596" w14:textId="38E695F6" w:rsidR="00244BB9" w:rsidRPr="008E75FC" w:rsidRDefault="006632C2" w:rsidP="006632C2">
      <w:pPr>
        <w:pStyle w:val="Heading1"/>
        <w:spacing w:before="120" w:after="120"/>
        <w:rPr>
          <w:sz w:val="40"/>
          <w:lang w:val="en-CA"/>
        </w:rPr>
      </w:pPr>
      <w:r w:rsidRPr="008E75FC">
        <w:rPr>
          <w:sz w:val="40"/>
          <w:lang w:val="en-CA"/>
        </w:rPr>
        <w:lastRenderedPageBreak/>
        <w:t>Internal time to staff</w:t>
      </w:r>
    </w:p>
    <w:p w14:paraId="35CBF00C" w14:textId="77777777" w:rsidR="006632C2" w:rsidRPr="008E75FC" w:rsidRDefault="002549B0" w:rsidP="006632C2">
      <w:pPr>
        <w:keepNext/>
        <w:rPr>
          <w:lang w:val="en-CA"/>
        </w:rPr>
      </w:pPr>
      <w:r w:rsidRPr="008E75FC">
        <w:rPr>
          <w:rFonts w:asciiTheme="minorHAnsi" w:hAnsiTheme="minorHAnsi" w:cstheme="minorHAnsi"/>
          <w:noProof/>
          <w:lang w:val="en-CA" w:eastAsia="en-CA"/>
        </w:rPr>
        <w:drawing>
          <wp:inline distT="0" distB="0" distL="0" distR="0" wp14:anchorId="1A54A656" wp14:editId="1F512B74">
            <wp:extent cx="5648400" cy="3049200"/>
            <wp:effectExtent l="0" t="0" r="9525" b="18415"/>
            <wp:docPr id="22" name="Chart 22" descr="Internal time to staff, Public service median = 175 days, 2019-202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6632C2" w:rsidRPr="008E75FC">
        <w:rPr>
          <w:rFonts w:asciiTheme="minorHAnsi" w:hAnsiTheme="minorHAnsi" w:cstheme="minorHAnsi"/>
          <w:noProof/>
          <w:lang w:val="en-CA" w:eastAsia="en-CA"/>
        </w:rPr>
        <w:drawing>
          <wp:inline distT="0" distB="0" distL="0" distR="0" wp14:anchorId="6AEBCEAE" wp14:editId="54EE3458">
            <wp:extent cx="5648400" cy="3049200"/>
            <wp:effectExtent l="0" t="0" r="9525" b="18415"/>
            <wp:docPr id="10" name="Chart 10" descr="Internal time to staff Indigenous and Northern Affairs Canada median = 195 days, 2019-202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82CA6A8" w14:textId="12D8D8BD" w:rsidR="006632C2" w:rsidRPr="008E75FC" w:rsidRDefault="006632C2" w:rsidP="006632C2">
      <w:pPr>
        <w:pStyle w:val="Caption"/>
        <w:tabs>
          <w:tab w:val="left" w:pos="8930"/>
        </w:tabs>
        <w:rPr>
          <w:rFonts w:asciiTheme="minorHAnsi" w:hAnsiTheme="minorHAnsi" w:cstheme="minorHAnsi"/>
          <w:i w:val="0"/>
          <w:color w:val="auto"/>
          <w:lang w:val="en-CA"/>
        </w:rPr>
      </w:pPr>
      <w:r w:rsidRPr="008E75FC">
        <w:rPr>
          <w:rFonts w:asciiTheme="minorHAnsi" w:hAnsiTheme="minorHAnsi" w:cstheme="minorHAnsi"/>
          <w:i w:val="0"/>
          <w:color w:val="auto"/>
          <w:lang w:val="en-CA"/>
        </w:rPr>
        <w:t xml:space="preserve">Figure </w:t>
      </w:r>
      <w:r w:rsidRPr="008E75FC">
        <w:rPr>
          <w:rFonts w:asciiTheme="minorHAnsi" w:hAnsiTheme="minorHAnsi" w:cstheme="minorHAnsi"/>
          <w:i w:val="0"/>
          <w:color w:val="auto"/>
          <w:lang w:val="en-CA"/>
        </w:rPr>
        <w:fldChar w:fldCharType="begin"/>
      </w:r>
      <w:r w:rsidRPr="008E75FC">
        <w:rPr>
          <w:rFonts w:asciiTheme="minorHAnsi" w:hAnsiTheme="minorHAnsi" w:cstheme="minorHAnsi"/>
          <w:i w:val="0"/>
          <w:color w:val="auto"/>
          <w:lang w:val="en-CA"/>
        </w:rPr>
        <w:instrText xml:space="preserve"> SEQ Figure \* ARABIC </w:instrText>
      </w:r>
      <w:r w:rsidRPr="008E75FC">
        <w:rPr>
          <w:rFonts w:asciiTheme="minorHAnsi" w:hAnsiTheme="minorHAnsi" w:cstheme="minorHAnsi"/>
          <w:i w:val="0"/>
          <w:color w:val="auto"/>
          <w:lang w:val="en-CA"/>
        </w:rPr>
        <w:fldChar w:fldCharType="separate"/>
      </w:r>
      <w:r w:rsidR="00C57B8B" w:rsidRPr="008E75FC">
        <w:rPr>
          <w:rFonts w:asciiTheme="minorHAnsi" w:hAnsiTheme="minorHAnsi" w:cstheme="minorHAnsi"/>
          <w:i w:val="0"/>
          <w:noProof/>
          <w:color w:val="auto"/>
          <w:lang w:val="en-CA"/>
        </w:rPr>
        <w:t>12</w:t>
      </w:r>
      <w:r w:rsidRPr="008E75FC">
        <w:rPr>
          <w:rFonts w:asciiTheme="minorHAnsi" w:hAnsiTheme="minorHAnsi" w:cstheme="minorHAnsi"/>
          <w:i w:val="0"/>
          <w:color w:val="auto"/>
          <w:lang w:val="en-CA"/>
        </w:rPr>
        <w:fldChar w:fldCharType="end"/>
      </w:r>
      <w:r w:rsidRPr="008E75FC">
        <w:rPr>
          <w:rFonts w:asciiTheme="minorHAnsi" w:hAnsiTheme="minorHAnsi" w:cstheme="minorHAnsi"/>
          <w:i w:val="0"/>
          <w:color w:val="auto"/>
          <w:lang w:val="en-CA"/>
        </w:rPr>
        <w:t xml:space="preserve"> - Internal time to staff Public service median = 175 days, 2019-20</w:t>
      </w:r>
      <w:r w:rsidR="00170A82">
        <w:rPr>
          <w:rFonts w:asciiTheme="minorHAnsi" w:hAnsiTheme="minorHAnsi" w:cstheme="minorHAnsi"/>
          <w:i w:val="0"/>
          <w:color w:val="auto"/>
          <w:lang w:val="en-CA"/>
        </w:rPr>
        <w:t>20</w:t>
      </w:r>
      <w:r w:rsidRPr="008E75FC">
        <w:rPr>
          <w:rFonts w:asciiTheme="minorHAnsi" w:hAnsiTheme="minorHAnsi" w:cstheme="minorHAnsi"/>
          <w:i w:val="0"/>
          <w:color w:val="auto"/>
          <w:lang w:val="en-CA"/>
        </w:rPr>
        <w:tab/>
        <w:t xml:space="preserve">Figure </w:t>
      </w:r>
      <w:r w:rsidRPr="008E75FC">
        <w:rPr>
          <w:rFonts w:asciiTheme="minorHAnsi" w:hAnsiTheme="minorHAnsi" w:cstheme="minorHAnsi"/>
          <w:i w:val="0"/>
          <w:color w:val="auto"/>
          <w:lang w:val="en-CA"/>
        </w:rPr>
        <w:fldChar w:fldCharType="begin"/>
      </w:r>
      <w:r w:rsidRPr="008E75FC">
        <w:rPr>
          <w:rFonts w:asciiTheme="minorHAnsi" w:hAnsiTheme="minorHAnsi" w:cstheme="minorHAnsi"/>
          <w:i w:val="0"/>
          <w:color w:val="auto"/>
          <w:lang w:val="en-CA"/>
        </w:rPr>
        <w:instrText xml:space="preserve"> SEQ Figure \* ARABIC </w:instrText>
      </w:r>
      <w:r w:rsidRPr="008E75FC">
        <w:rPr>
          <w:rFonts w:asciiTheme="minorHAnsi" w:hAnsiTheme="minorHAnsi" w:cstheme="minorHAnsi"/>
          <w:i w:val="0"/>
          <w:color w:val="auto"/>
          <w:lang w:val="en-CA"/>
        </w:rPr>
        <w:fldChar w:fldCharType="separate"/>
      </w:r>
      <w:r w:rsidR="00C57B8B" w:rsidRPr="008E75FC">
        <w:rPr>
          <w:rFonts w:asciiTheme="minorHAnsi" w:hAnsiTheme="minorHAnsi" w:cstheme="minorHAnsi"/>
          <w:i w:val="0"/>
          <w:noProof/>
          <w:color w:val="auto"/>
          <w:lang w:val="en-CA"/>
        </w:rPr>
        <w:t>13</w:t>
      </w:r>
      <w:r w:rsidRPr="008E75FC">
        <w:rPr>
          <w:rFonts w:asciiTheme="minorHAnsi" w:hAnsiTheme="minorHAnsi" w:cstheme="minorHAnsi"/>
          <w:i w:val="0"/>
          <w:color w:val="auto"/>
          <w:lang w:val="en-CA"/>
        </w:rPr>
        <w:fldChar w:fldCharType="end"/>
      </w:r>
      <w:r w:rsidRPr="008E75FC">
        <w:rPr>
          <w:rFonts w:asciiTheme="minorHAnsi" w:hAnsiTheme="minorHAnsi" w:cstheme="minorHAnsi"/>
          <w:i w:val="0"/>
          <w:color w:val="auto"/>
          <w:lang w:val="en-CA"/>
        </w:rPr>
        <w:t xml:space="preserve"> - Internal time to staff Indigenous and Northern Affairs Canada median = 195 days, 2019-20</w:t>
      </w:r>
      <w:r w:rsidR="00170A82">
        <w:rPr>
          <w:rFonts w:asciiTheme="minorHAnsi" w:hAnsiTheme="minorHAnsi" w:cstheme="minorHAnsi"/>
          <w:i w:val="0"/>
          <w:color w:val="auto"/>
          <w:lang w:val="en-CA"/>
        </w:rPr>
        <w:t>20</w:t>
      </w:r>
    </w:p>
    <w:p w14:paraId="03FD482C" w14:textId="1176A7DF" w:rsidR="002549B0" w:rsidRPr="008E75FC" w:rsidRDefault="0025296D" w:rsidP="006632C2">
      <w:pPr>
        <w:numPr>
          <w:ilvl w:val="1"/>
          <w:numId w:val="0"/>
        </w:numPr>
        <w:spacing w:before="240" w:after="120"/>
        <w:rPr>
          <w:rFonts w:asciiTheme="minorHAnsi" w:hAnsiTheme="minorHAnsi" w:cstheme="minorHAnsi"/>
          <w:sz w:val="22"/>
          <w:szCs w:val="22"/>
          <w:lang w:val="en-CA"/>
        </w:rPr>
      </w:pPr>
      <w:hyperlink w:anchor="Internal_time_to_staff" w:history="1">
        <w:r w:rsidR="006632C2" w:rsidRPr="008E75FC">
          <w:rPr>
            <w:rStyle w:val="Hyperlink"/>
            <w:rFonts w:asciiTheme="minorHAnsi" w:eastAsiaTheme="minorHAnsi" w:hAnsiTheme="minorHAnsi" w:cstheme="minorHAnsi"/>
            <w:sz w:val="22"/>
            <w:szCs w:val="22"/>
            <w:lang w:val="en-CA"/>
          </w:rPr>
          <w:t>Internal time to staff data table available here</w:t>
        </w:r>
      </w:hyperlink>
    </w:p>
    <w:p w14:paraId="675B7605" w14:textId="77777777" w:rsidR="00BD7A73" w:rsidRPr="008E75FC" w:rsidRDefault="00BD7A73" w:rsidP="006632C2">
      <w:pPr>
        <w:rPr>
          <w:rFonts w:asciiTheme="minorHAnsi" w:hAnsiTheme="minorHAnsi" w:cstheme="minorHAnsi"/>
          <w:sz w:val="22"/>
          <w:szCs w:val="22"/>
          <w:lang w:val="en-CA" w:eastAsia="en-CA"/>
        </w:rPr>
        <w:sectPr w:rsidR="00BD7A73" w:rsidRPr="008E75FC" w:rsidSect="00244BB9">
          <w:pgSz w:w="20160" w:h="12240" w:orient="landscape" w:code="5"/>
          <w:pgMar w:top="1025" w:right="720" w:bottom="720" w:left="720" w:header="708" w:footer="708" w:gutter="0"/>
          <w:cols w:space="708"/>
          <w:titlePg/>
          <w:docGrid w:linePitch="360"/>
        </w:sectPr>
      </w:pPr>
    </w:p>
    <w:p w14:paraId="5B141912" w14:textId="5C9BFD90" w:rsidR="00244BB9" w:rsidRPr="008E75FC" w:rsidRDefault="00244BB9" w:rsidP="00BD7A73">
      <w:pPr>
        <w:spacing w:after="120"/>
        <w:rPr>
          <w:rFonts w:asciiTheme="minorHAnsi" w:hAnsiTheme="minorHAnsi" w:cstheme="minorHAnsi"/>
          <w:sz w:val="22"/>
          <w:szCs w:val="22"/>
          <w:lang w:val="en-CA" w:eastAsia="en-CA"/>
        </w:rPr>
      </w:pPr>
      <w:r w:rsidRPr="008E75FC">
        <w:rPr>
          <w:rFonts w:asciiTheme="minorHAnsi" w:hAnsiTheme="minorHAnsi" w:cstheme="minorHAnsi"/>
          <w:sz w:val="22"/>
          <w:szCs w:val="22"/>
          <w:lang w:val="en-CA" w:eastAsia="en-CA"/>
        </w:rPr>
        <w:t>Internal time to staff is calculated as the number of calendar days between the opening date of the advertisement and the date of the first notification</w:t>
      </w:r>
    </w:p>
    <w:p w14:paraId="0A6AA289" w14:textId="6B58D678" w:rsidR="00244BB9" w:rsidRPr="008E75FC" w:rsidRDefault="00BD7A73" w:rsidP="00170A82">
      <w:pPr>
        <w:spacing w:after="120"/>
        <w:rPr>
          <w:rFonts w:asciiTheme="minorHAnsi" w:hAnsiTheme="minorHAnsi" w:cstheme="minorHAnsi"/>
          <w:sz w:val="22"/>
          <w:szCs w:val="22"/>
          <w:lang w:val="en-CA"/>
        </w:rPr>
      </w:pPr>
      <w:r w:rsidRPr="008E75FC">
        <w:rPr>
          <w:rFonts w:asciiTheme="minorHAnsi" w:hAnsiTheme="minorHAnsi" w:cstheme="minorHAnsi"/>
          <w:sz w:val="22"/>
          <w:szCs w:val="22"/>
          <w:lang w:val="en-CA"/>
        </w:rPr>
        <w:t xml:space="preserve">The median internal time to staff for the public service (organizations subject to the </w:t>
      </w:r>
      <w:r w:rsidRPr="008E75FC">
        <w:rPr>
          <w:rStyle w:val="Emphasis"/>
          <w:rFonts w:asciiTheme="minorHAnsi" w:hAnsiTheme="minorHAnsi" w:cstheme="minorHAnsi"/>
          <w:sz w:val="22"/>
          <w:szCs w:val="22"/>
          <w:lang w:val="en-CA"/>
        </w:rPr>
        <w:t>Public Service Employment Act</w:t>
      </w:r>
      <w:r w:rsidRPr="008E75FC">
        <w:rPr>
          <w:rFonts w:asciiTheme="minorHAnsi" w:hAnsiTheme="minorHAnsi" w:cstheme="minorHAnsi"/>
          <w:sz w:val="22"/>
          <w:szCs w:val="22"/>
          <w:lang w:val="en-CA"/>
        </w:rPr>
        <w:t>) for fiscal year 2019 to 2020 is 175 days</w:t>
      </w:r>
    </w:p>
    <w:p w14:paraId="5589F63D" w14:textId="77777777" w:rsidR="00244BB9" w:rsidRPr="008E75FC" w:rsidRDefault="00244BB9" w:rsidP="00775CE4">
      <w:pPr>
        <w:rPr>
          <w:rStyle w:val="Strong"/>
          <w:szCs w:val="22"/>
          <w:lang w:val="en-CA"/>
        </w:rPr>
      </w:pPr>
      <w:r w:rsidRPr="008E75FC">
        <w:rPr>
          <w:rStyle w:val="Strong"/>
          <w:szCs w:val="22"/>
          <w:lang w:val="en-CA"/>
        </w:rPr>
        <w:t>Internal time to staff for fiscal year 2019 to 2020</w:t>
      </w:r>
    </w:p>
    <w:p w14:paraId="27F859BB" w14:textId="77777777" w:rsidR="00BD7A73" w:rsidRPr="008E75FC" w:rsidRDefault="00BD7A73" w:rsidP="00BD7A73">
      <w:pPr>
        <w:spacing w:after="120"/>
        <w:rPr>
          <w:rFonts w:asciiTheme="minorHAnsi" w:hAnsiTheme="minorHAnsi" w:cstheme="minorHAnsi"/>
          <w:sz w:val="22"/>
          <w:szCs w:val="22"/>
          <w:lang w:val="en-CA"/>
        </w:rPr>
      </w:pPr>
      <w:r w:rsidRPr="008E75FC">
        <w:rPr>
          <w:rFonts w:asciiTheme="minorHAnsi" w:hAnsiTheme="minorHAnsi" w:cstheme="minorHAnsi"/>
          <w:sz w:val="22"/>
          <w:szCs w:val="22"/>
          <w:lang w:val="en-CA"/>
        </w:rPr>
        <w:t>Indigenous and Northern Affairs Canada’s median internal time to staff for fiscal year 2019 to 2020 is 195 days</w:t>
      </w:r>
    </w:p>
    <w:p w14:paraId="2E4F3073" w14:textId="77777777" w:rsidR="00BD7A73" w:rsidRPr="008E75FC" w:rsidRDefault="00BD7A73" w:rsidP="006632C2">
      <w:pPr>
        <w:spacing w:after="120"/>
        <w:rPr>
          <w:rFonts w:asciiTheme="minorHAnsi" w:hAnsiTheme="minorHAnsi" w:cstheme="minorHAnsi"/>
          <w:sz w:val="22"/>
          <w:szCs w:val="22"/>
          <w:lang w:val="en-CA"/>
        </w:rPr>
        <w:sectPr w:rsidR="00BD7A73" w:rsidRPr="008E75FC" w:rsidSect="00BD7A73">
          <w:type w:val="continuous"/>
          <w:pgSz w:w="20160" w:h="12240" w:orient="landscape" w:code="5"/>
          <w:pgMar w:top="1025" w:right="720" w:bottom="720" w:left="720" w:header="708" w:footer="708" w:gutter="0"/>
          <w:cols w:num="2" w:space="708"/>
          <w:titlePg/>
          <w:docGrid w:linePitch="360"/>
        </w:sectPr>
      </w:pPr>
    </w:p>
    <w:p w14:paraId="31A73547" w14:textId="77777777" w:rsidR="00244BB9" w:rsidRPr="008E75FC" w:rsidRDefault="00244BB9" w:rsidP="002549B0">
      <w:pPr>
        <w:rPr>
          <w:rFonts w:asciiTheme="minorHAnsi" w:hAnsiTheme="minorHAnsi" w:cstheme="minorHAnsi"/>
          <w:sz w:val="22"/>
          <w:szCs w:val="22"/>
          <w:lang w:val="en-CA"/>
        </w:rPr>
        <w:sectPr w:rsidR="00244BB9" w:rsidRPr="008E75FC" w:rsidSect="00BD7A73">
          <w:type w:val="continuous"/>
          <w:pgSz w:w="20160" w:h="12240" w:orient="landscape" w:code="5"/>
          <w:pgMar w:top="1025" w:right="720" w:bottom="720" w:left="720" w:header="708" w:footer="708" w:gutter="0"/>
          <w:cols w:space="708"/>
          <w:titlePg/>
          <w:docGrid w:linePitch="360"/>
        </w:sectPr>
      </w:pPr>
    </w:p>
    <w:p w14:paraId="557C8E07" w14:textId="798ACB95" w:rsidR="00244BB9" w:rsidRPr="008E75FC" w:rsidRDefault="00AB09A7" w:rsidP="00AB09A7">
      <w:pPr>
        <w:pStyle w:val="Heading1"/>
        <w:spacing w:before="120" w:after="120"/>
        <w:rPr>
          <w:sz w:val="40"/>
          <w:lang w:val="en-CA"/>
        </w:rPr>
      </w:pPr>
      <w:r w:rsidRPr="008E75FC">
        <w:rPr>
          <w:sz w:val="40"/>
          <w:lang w:val="en-CA"/>
        </w:rPr>
        <w:lastRenderedPageBreak/>
        <w:t>Internal time to staff</w:t>
      </w:r>
    </w:p>
    <w:tbl>
      <w:tblPr>
        <w:tblStyle w:val="TableGrid"/>
        <w:tblW w:w="5071" w:type="pct"/>
        <w:jc w:val="center"/>
        <w:tblLook w:val="0020" w:firstRow="1" w:lastRow="0" w:firstColumn="0" w:lastColumn="0" w:noHBand="0" w:noVBand="0"/>
        <w:tblDescription w:val="Internal time to staff"/>
      </w:tblPr>
      <w:tblGrid>
        <w:gridCol w:w="5961"/>
        <w:gridCol w:w="8698"/>
        <w:gridCol w:w="8698"/>
      </w:tblGrid>
      <w:tr w:rsidR="00C57B8B" w:rsidRPr="008E75FC" w14:paraId="1BF53A52" w14:textId="77777777" w:rsidTr="0089643E">
        <w:trPr>
          <w:cantSplit/>
          <w:trHeight w:val="290"/>
          <w:tblHeader/>
          <w:jc w:val="center"/>
        </w:trPr>
        <w:tc>
          <w:tcPr>
            <w:tcW w:w="734" w:type="pct"/>
          </w:tcPr>
          <w:p w14:paraId="5CB117D3" w14:textId="77777777" w:rsidR="00AB09A7" w:rsidRPr="008E75FC" w:rsidRDefault="00AB09A7" w:rsidP="00C57B8B">
            <w:pPr>
              <w:pStyle w:val="TableTitle"/>
              <w:rPr>
                <w:color w:val="auto"/>
                <w:sz w:val="22"/>
                <w:lang w:val="en-CA"/>
              </w:rPr>
            </w:pPr>
            <w:bookmarkStart w:id="2" w:name="Internal_time_to_staff"/>
            <w:r w:rsidRPr="008E75FC">
              <w:rPr>
                <w:color w:val="auto"/>
                <w:sz w:val="22"/>
                <w:lang w:val="en-CA"/>
              </w:rPr>
              <w:t>Number of calendar days</w:t>
            </w:r>
            <w:bookmarkEnd w:id="2"/>
          </w:p>
        </w:tc>
        <w:tc>
          <w:tcPr>
            <w:tcW w:w="1071" w:type="pct"/>
          </w:tcPr>
          <w:p w14:paraId="10EBEDDF" w14:textId="77777777" w:rsidR="00AB09A7" w:rsidRPr="008E75FC" w:rsidRDefault="00AB09A7" w:rsidP="00C57B8B">
            <w:pPr>
              <w:pStyle w:val="TableTitle"/>
              <w:rPr>
                <w:color w:val="auto"/>
                <w:sz w:val="22"/>
                <w:lang w:val="en-CA"/>
              </w:rPr>
            </w:pPr>
            <w:r w:rsidRPr="008E75FC">
              <w:rPr>
                <w:color w:val="auto"/>
                <w:sz w:val="22"/>
                <w:lang w:val="en-CA"/>
              </w:rPr>
              <w:t xml:space="preserve">The number of internal appointments for which the TTS-IA was within the specified number of calendar days  for organizations subject to the </w:t>
            </w:r>
            <w:r w:rsidRPr="008E75FC">
              <w:rPr>
                <w:rStyle w:val="Emphasis"/>
                <w:sz w:val="22"/>
                <w:lang w:val="en-CA"/>
              </w:rPr>
              <w:t>Public Service Employment Act</w:t>
            </w:r>
          </w:p>
        </w:tc>
        <w:tc>
          <w:tcPr>
            <w:tcW w:w="1071" w:type="pct"/>
          </w:tcPr>
          <w:p w14:paraId="46112CEC" w14:textId="77777777" w:rsidR="00AB09A7" w:rsidRPr="008E75FC" w:rsidRDefault="00AB09A7" w:rsidP="00C57B8B">
            <w:pPr>
              <w:pStyle w:val="TableTitle"/>
              <w:rPr>
                <w:color w:val="auto"/>
                <w:sz w:val="22"/>
                <w:lang w:val="en-CA"/>
              </w:rPr>
            </w:pPr>
            <w:r w:rsidRPr="008E75FC">
              <w:rPr>
                <w:color w:val="auto"/>
                <w:sz w:val="22"/>
                <w:lang w:val="en-CA"/>
              </w:rPr>
              <w:t>The number of internal appointments for which the TTS-IA was within the specified number of calendar days for the specified organization</w:t>
            </w:r>
          </w:p>
        </w:tc>
      </w:tr>
      <w:tr w:rsidR="00AB09A7" w:rsidRPr="008E75FC" w14:paraId="73AF4611" w14:textId="77777777" w:rsidTr="0089643E">
        <w:trPr>
          <w:cantSplit/>
          <w:trHeight w:val="290"/>
          <w:tblHeader/>
          <w:jc w:val="center"/>
        </w:trPr>
        <w:tc>
          <w:tcPr>
            <w:tcW w:w="734" w:type="pct"/>
          </w:tcPr>
          <w:p w14:paraId="29CB1470"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0 calendar days</w:t>
            </w:r>
          </w:p>
        </w:tc>
        <w:tc>
          <w:tcPr>
            <w:tcW w:w="1071" w:type="pct"/>
          </w:tcPr>
          <w:p w14:paraId="6EDBCC73"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0</w:t>
            </w:r>
          </w:p>
        </w:tc>
        <w:tc>
          <w:tcPr>
            <w:tcW w:w="1071" w:type="pct"/>
          </w:tcPr>
          <w:p w14:paraId="013F47B9"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0</w:t>
            </w:r>
          </w:p>
        </w:tc>
      </w:tr>
      <w:tr w:rsidR="00AB09A7" w:rsidRPr="008E75FC" w14:paraId="16256795" w14:textId="77777777" w:rsidTr="0089643E">
        <w:trPr>
          <w:cantSplit/>
          <w:trHeight w:val="290"/>
          <w:tblHeader/>
          <w:jc w:val="center"/>
        </w:trPr>
        <w:tc>
          <w:tcPr>
            <w:tcW w:w="734" w:type="pct"/>
          </w:tcPr>
          <w:p w14:paraId="261FED6B"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0 to 29 calendar days</w:t>
            </w:r>
          </w:p>
        </w:tc>
        <w:tc>
          <w:tcPr>
            <w:tcW w:w="1071" w:type="pct"/>
          </w:tcPr>
          <w:p w14:paraId="31E3EED3"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13</w:t>
            </w:r>
          </w:p>
        </w:tc>
        <w:tc>
          <w:tcPr>
            <w:tcW w:w="1071" w:type="pct"/>
          </w:tcPr>
          <w:p w14:paraId="104DDD09"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1</w:t>
            </w:r>
          </w:p>
        </w:tc>
      </w:tr>
      <w:tr w:rsidR="00AB09A7" w:rsidRPr="008E75FC" w14:paraId="63376273" w14:textId="77777777" w:rsidTr="0089643E">
        <w:trPr>
          <w:cantSplit/>
          <w:trHeight w:val="290"/>
          <w:tblHeader/>
          <w:jc w:val="center"/>
        </w:trPr>
        <w:tc>
          <w:tcPr>
            <w:tcW w:w="734" w:type="pct"/>
          </w:tcPr>
          <w:p w14:paraId="34037348"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30 to 59 calendar days</w:t>
            </w:r>
          </w:p>
        </w:tc>
        <w:tc>
          <w:tcPr>
            <w:tcW w:w="1071" w:type="pct"/>
          </w:tcPr>
          <w:p w14:paraId="036A54D2"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106</w:t>
            </w:r>
          </w:p>
        </w:tc>
        <w:tc>
          <w:tcPr>
            <w:tcW w:w="1071" w:type="pct"/>
          </w:tcPr>
          <w:p w14:paraId="2144B097"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4</w:t>
            </w:r>
          </w:p>
        </w:tc>
      </w:tr>
      <w:tr w:rsidR="00AB09A7" w:rsidRPr="008E75FC" w14:paraId="72A37D6D" w14:textId="77777777" w:rsidTr="0089643E">
        <w:trPr>
          <w:cantSplit/>
          <w:trHeight w:val="290"/>
          <w:tblHeader/>
          <w:jc w:val="center"/>
        </w:trPr>
        <w:tc>
          <w:tcPr>
            <w:tcW w:w="734" w:type="pct"/>
          </w:tcPr>
          <w:p w14:paraId="5EC8CE8F"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60 to 89 calendar days</w:t>
            </w:r>
          </w:p>
        </w:tc>
        <w:tc>
          <w:tcPr>
            <w:tcW w:w="1071" w:type="pct"/>
          </w:tcPr>
          <w:p w14:paraId="58A93CA8"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256</w:t>
            </w:r>
          </w:p>
        </w:tc>
        <w:tc>
          <w:tcPr>
            <w:tcW w:w="1071" w:type="pct"/>
          </w:tcPr>
          <w:p w14:paraId="6F88EAC5"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10</w:t>
            </w:r>
          </w:p>
        </w:tc>
      </w:tr>
      <w:tr w:rsidR="00AB09A7" w:rsidRPr="008E75FC" w14:paraId="35750AB4" w14:textId="77777777" w:rsidTr="0089643E">
        <w:trPr>
          <w:cantSplit/>
          <w:trHeight w:val="290"/>
          <w:tblHeader/>
          <w:jc w:val="center"/>
        </w:trPr>
        <w:tc>
          <w:tcPr>
            <w:tcW w:w="734" w:type="pct"/>
          </w:tcPr>
          <w:p w14:paraId="050FB42A"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90 to 119 calendar days</w:t>
            </w:r>
          </w:p>
        </w:tc>
        <w:tc>
          <w:tcPr>
            <w:tcW w:w="1071" w:type="pct"/>
          </w:tcPr>
          <w:p w14:paraId="467F6295"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331</w:t>
            </w:r>
          </w:p>
        </w:tc>
        <w:tc>
          <w:tcPr>
            <w:tcW w:w="1071" w:type="pct"/>
          </w:tcPr>
          <w:p w14:paraId="1FF5D83B"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10</w:t>
            </w:r>
          </w:p>
        </w:tc>
      </w:tr>
      <w:tr w:rsidR="00AB09A7" w:rsidRPr="008E75FC" w14:paraId="33FEEC4C" w14:textId="77777777" w:rsidTr="0089643E">
        <w:trPr>
          <w:cantSplit/>
          <w:trHeight w:val="290"/>
          <w:tblHeader/>
          <w:jc w:val="center"/>
        </w:trPr>
        <w:tc>
          <w:tcPr>
            <w:tcW w:w="734" w:type="pct"/>
          </w:tcPr>
          <w:p w14:paraId="662868DD"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120 to 149 calendar days</w:t>
            </w:r>
          </w:p>
        </w:tc>
        <w:tc>
          <w:tcPr>
            <w:tcW w:w="1071" w:type="pct"/>
          </w:tcPr>
          <w:p w14:paraId="374BDF72"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313</w:t>
            </w:r>
          </w:p>
        </w:tc>
        <w:tc>
          <w:tcPr>
            <w:tcW w:w="1071" w:type="pct"/>
          </w:tcPr>
          <w:p w14:paraId="74C7E73C"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10</w:t>
            </w:r>
          </w:p>
        </w:tc>
      </w:tr>
      <w:tr w:rsidR="00AB09A7" w:rsidRPr="008E75FC" w14:paraId="6A20DC22" w14:textId="77777777" w:rsidTr="0089643E">
        <w:trPr>
          <w:cantSplit/>
          <w:trHeight w:val="290"/>
          <w:tblHeader/>
          <w:jc w:val="center"/>
        </w:trPr>
        <w:tc>
          <w:tcPr>
            <w:tcW w:w="734" w:type="pct"/>
          </w:tcPr>
          <w:p w14:paraId="55BBF10E"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150 to 179 calendar days</w:t>
            </w:r>
          </w:p>
        </w:tc>
        <w:tc>
          <w:tcPr>
            <w:tcW w:w="1071" w:type="pct"/>
          </w:tcPr>
          <w:p w14:paraId="261B90F0"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314</w:t>
            </w:r>
          </w:p>
        </w:tc>
        <w:tc>
          <w:tcPr>
            <w:tcW w:w="1071" w:type="pct"/>
          </w:tcPr>
          <w:p w14:paraId="0A93FB6B"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13</w:t>
            </w:r>
          </w:p>
        </w:tc>
      </w:tr>
      <w:tr w:rsidR="00AB09A7" w:rsidRPr="008E75FC" w14:paraId="31FA7974" w14:textId="77777777" w:rsidTr="0089643E">
        <w:trPr>
          <w:cantSplit/>
          <w:trHeight w:val="290"/>
          <w:tblHeader/>
          <w:jc w:val="center"/>
        </w:trPr>
        <w:tc>
          <w:tcPr>
            <w:tcW w:w="734" w:type="pct"/>
          </w:tcPr>
          <w:p w14:paraId="09AA0143"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180 to 209 calendar days</w:t>
            </w:r>
          </w:p>
        </w:tc>
        <w:tc>
          <w:tcPr>
            <w:tcW w:w="1071" w:type="pct"/>
          </w:tcPr>
          <w:p w14:paraId="59FF12F2"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258</w:t>
            </w:r>
          </w:p>
        </w:tc>
        <w:tc>
          <w:tcPr>
            <w:tcW w:w="1071" w:type="pct"/>
          </w:tcPr>
          <w:p w14:paraId="2986C32E"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10</w:t>
            </w:r>
          </w:p>
        </w:tc>
      </w:tr>
      <w:tr w:rsidR="00AB09A7" w:rsidRPr="008E75FC" w14:paraId="3A9E662E" w14:textId="77777777" w:rsidTr="0089643E">
        <w:trPr>
          <w:cantSplit/>
          <w:trHeight w:val="290"/>
          <w:tblHeader/>
          <w:jc w:val="center"/>
        </w:trPr>
        <w:tc>
          <w:tcPr>
            <w:tcW w:w="734" w:type="pct"/>
          </w:tcPr>
          <w:p w14:paraId="71122464"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210 to 239 calendar days</w:t>
            </w:r>
          </w:p>
        </w:tc>
        <w:tc>
          <w:tcPr>
            <w:tcW w:w="1071" w:type="pct"/>
          </w:tcPr>
          <w:p w14:paraId="600AF495"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191</w:t>
            </w:r>
          </w:p>
        </w:tc>
        <w:tc>
          <w:tcPr>
            <w:tcW w:w="1071" w:type="pct"/>
          </w:tcPr>
          <w:p w14:paraId="1F55D378"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11</w:t>
            </w:r>
          </w:p>
        </w:tc>
      </w:tr>
      <w:tr w:rsidR="00AB09A7" w:rsidRPr="008E75FC" w14:paraId="3C8EB1CD" w14:textId="77777777" w:rsidTr="0089643E">
        <w:trPr>
          <w:cantSplit/>
          <w:trHeight w:val="290"/>
          <w:tblHeader/>
          <w:jc w:val="center"/>
        </w:trPr>
        <w:tc>
          <w:tcPr>
            <w:tcW w:w="734" w:type="pct"/>
          </w:tcPr>
          <w:p w14:paraId="69C2C667"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240 to 269 calendar days</w:t>
            </w:r>
          </w:p>
        </w:tc>
        <w:tc>
          <w:tcPr>
            <w:tcW w:w="1071" w:type="pct"/>
          </w:tcPr>
          <w:p w14:paraId="7042597F"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143</w:t>
            </w:r>
          </w:p>
        </w:tc>
        <w:tc>
          <w:tcPr>
            <w:tcW w:w="1071" w:type="pct"/>
          </w:tcPr>
          <w:p w14:paraId="3C70558C"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3</w:t>
            </w:r>
          </w:p>
        </w:tc>
      </w:tr>
      <w:tr w:rsidR="00AB09A7" w:rsidRPr="008E75FC" w14:paraId="7B25EBA5" w14:textId="77777777" w:rsidTr="0089643E">
        <w:trPr>
          <w:cantSplit/>
          <w:trHeight w:val="290"/>
          <w:tblHeader/>
          <w:jc w:val="center"/>
        </w:trPr>
        <w:tc>
          <w:tcPr>
            <w:tcW w:w="734" w:type="pct"/>
          </w:tcPr>
          <w:p w14:paraId="4947EC6D"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270 to 299 calendar days</w:t>
            </w:r>
          </w:p>
        </w:tc>
        <w:tc>
          <w:tcPr>
            <w:tcW w:w="1071" w:type="pct"/>
          </w:tcPr>
          <w:p w14:paraId="6745DB1A"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109</w:t>
            </w:r>
          </w:p>
        </w:tc>
        <w:tc>
          <w:tcPr>
            <w:tcW w:w="1071" w:type="pct"/>
          </w:tcPr>
          <w:p w14:paraId="7DF3558D"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10</w:t>
            </w:r>
          </w:p>
        </w:tc>
      </w:tr>
      <w:tr w:rsidR="00AB09A7" w:rsidRPr="008E75FC" w14:paraId="440BFE7A" w14:textId="77777777" w:rsidTr="0089643E">
        <w:trPr>
          <w:cantSplit/>
          <w:trHeight w:val="290"/>
          <w:tblHeader/>
          <w:jc w:val="center"/>
        </w:trPr>
        <w:tc>
          <w:tcPr>
            <w:tcW w:w="734" w:type="pct"/>
          </w:tcPr>
          <w:p w14:paraId="78CE08A8"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300 to 329 calendar days</w:t>
            </w:r>
          </w:p>
        </w:tc>
        <w:tc>
          <w:tcPr>
            <w:tcW w:w="1071" w:type="pct"/>
          </w:tcPr>
          <w:p w14:paraId="132F0EA5"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91</w:t>
            </w:r>
          </w:p>
        </w:tc>
        <w:tc>
          <w:tcPr>
            <w:tcW w:w="1071" w:type="pct"/>
          </w:tcPr>
          <w:p w14:paraId="0F517BED"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5</w:t>
            </w:r>
          </w:p>
        </w:tc>
      </w:tr>
      <w:tr w:rsidR="00AB09A7" w:rsidRPr="008E75FC" w14:paraId="1E1D106C" w14:textId="77777777" w:rsidTr="0089643E">
        <w:trPr>
          <w:cantSplit/>
          <w:trHeight w:val="290"/>
          <w:tblHeader/>
          <w:jc w:val="center"/>
        </w:trPr>
        <w:tc>
          <w:tcPr>
            <w:tcW w:w="734" w:type="pct"/>
          </w:tcPr>
          <w:p w14:paraId="1B2E5DD2"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330 to 359 calendar days</w:t>
            </w:r>
          </w:p>
        </w:tc>
        <w:tc>
          <w:tcPr>
            <w:tcW w:w="1071" w:type="pct"/>
          </w:tcPr>
          <w:p w14:paraId="5CD21069"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70</w:t>
            </w:r>
          </w:p>
        </w:tc>
        <w:tc>
          <w:tcPr>
            <w:tcW w:w="1071" w:type="pct"/>
          </w:tcPr>
          <w:p w14:paraId="01CC8528"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6</w:t>
            </w:r>
          </w:p>
        </w:tc>
      </w:tr>
      <w:tr w:rsidR="00AB09A7" w:rsidRPr="008E75FC" w14:paraId="546124D0" w14:textId="77777777" w:rsidTr="0089643E">
        <w:trPr>
          <w:cantSplit/>
          <w:trHeight w:val="290"/>
          <w:tblHeader/>
          <w:jc w:val="center"/>
        </w:trPr>
        <w:tc>
          <w:tcPr>
            <w:tcW w:w="734" w:type="pct"/>
          </w:tcPr>
          <w:p w14:paraId="5C0BBE40"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360 to 389 calendar days</w:t>
            </w:r>
          </w:p>
        </w:tc>
        <w:tc>
          <w:tcPr>
            <w:tcW w:w="1071" w:type="pct"/>
          </w:tcPr>
          <w:p w14:paraId="498E84E0"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49</w:t>
            </w:r>
          </w:p>
        </w:tc>
        <w:tc>
          <w:tcPr>
            <w:tcW w:w="1071" w:type="pct"/>
          </w:tcPr>
          <w:p w14:paraId="7B8C673A"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2</w:t>
            </w:r>
          </w:p>
        </w:tc>
      </w:tr>
      <w:tr w:rsidR="00AB09A7" w:rsidRPr="008E75FC" w14:paraId="48A8C61D" w14:textId="77777777" w:rsidTr="0089643E">
        <w:trPr>
          <w:cantSplit/>
          <w:trHeight w:val="290"/>
          <w:tblHeader/>
          <w:jc w:val="center"/>
        </w:trPr>
        <w:tc>
          <w:tcPr>
            <w:tcW w:w="734" w:type="pct"/>
          </w:tcPr>
          <w:p w14:paraId="2DCE2C6F"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390 to 419 calendar days</w:t>
            </w:r>
          </w:p>
        </w:tc>
        <w:tc>
          <w:tcPr>
            <w:tcW w:w="1071" w:type="pct"/>
          </w:tcPr>
          <w:p w14:paraId="598B753D"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43</w:t>
            </w:r>
          </w:p>
        </w:tc>
        <w:tc>
          <w:tcPr>
            <w:tcW w:w="1071" w:type="pct"/>
          </w:tcPr>
          <w:p w14:paraId="561D99F9"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1</w:t>
            </w:r>
          </w:p>
        </w:tc>
      </w:tr>
      <w:tr w:rsidR="00AB09A7" w:rsidRPr="008E75FC" w14:paraId="61BC9E52" w14:textId="77777777" w:rsidTr="0089643E">
        <w:trPr>
          <w:cantSplit/>
          <w:trHeight w:val="290"/>
          <w:tblHeader/>
          <w:jc w:val="center"/>
        </w:trPr>
        <w:tc>
          <w:tcPr>
            <w:tcW w:w="734" w:type="pct"/>
          </w:tcPr>
          <w:p w14:paraId="0DC52C84"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420 to 449 calendar days</w:t>
            </w:r>
          </w:p>
        </w:tc>
        <w:tc>
          <w:tcPr>
            <w:tcW w:w="1071" w:type="pct"/>
          </w:tcPr>
          <w:p w14:paraId="60497F98"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41</w:t>
            </w:r>
          </w:p>
        </w:tc>
        <w:tc>
          <w:tcPr>
            <w:tcW w:w="1071" w:type="pct"/>
          </w:tcPr>
          <w:p w14:paraId="7EB0DA88"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4</w:t>
            </w:r>
          </w:p>
        </w:tc>
      </w:tr>
      <w:tr w:rsidR="00AB09A7" w:rsidRPr="008E75FC" w14:paraId="669D833A" w14:textId="77777777" w:rsidTr="0089643E">
        <w:trPr>
          <w:cantSplit/>
          <w:trHeight w:val="290"/>
          <w:tblHeader/>
          <w:jc w:val="center"/>
        </w:trPr>
        <w:tc>
          <w:tcPr>
            <w:tcW w:w="734" w:type="pct"/>
          </w:tcPr>
          <w:p w14:paraId="1C12A701"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450 to 479 calendar days</w:t>
            </w:r>
          </w:p>
        </w:tc>
        <w:tc>
          <w:tcPr>
            <w:tcW w:w="1071" w:type="pct"/>
          </w:tcPr>
          <w:p w14:paraId="129D8478"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36</w:t>
            </w:r>
          </w:p>
        </w:tc>
        <w:tc>
          <w:tcPr>
            <w:tcW w:w="1071" w:type="pct"/>
          </w:tcPr>
          <w:p w14:paraId="3FEF9E6D"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2</w:t>
            </w:r>
          </w:p>
        </w:tc>
      </w:tr>
      <w:tr w:rsidR="00AB09A7" w:rsidRPr="008E75FC" w14:paraId="696EF078" w14:textId="77777777" w:rsidTr="0089643E">
        <w:trPr>
          <w:cantSplit/>
          <w:trHeight w:val="290"/>
          <w:tblHeader/>
          <w:jc w:val="center"/>
        </w:trPr>
        <w:tc>
          <w:tcPr>
            <w:tcW w:w="734" w:type="pct"/>
          </w:tcPr>
          <w:p w14:paraId="43C03AC9"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480 to 509 calendar days</w:t>
            </w:r>
          </w:p>
        </w:tc>
        <w:tc>
          <w:tcPr>
            <w:tcW w:w="1071" w:type="pct"/>
          </w:tcPr>
          <w:p w14:paraId="409C0E61"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20</w:t>
            </w:r>
          </w:p>
        </w:tc>
        <w:tc>
          <w:tcPr>
            <w:tcW w:w="1071" w:type="pct"/>
          </w:tcPr>
          <w:p w14:paraId="3DE08584"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1</w:t>
            </w:r>
          </w:p>
        </w:tc>
      </w:tr>
      <w:tr w:rsidR="00AB09A7" w:rsidRPr="008E75FC" w14:paraId="50FE1EFD" w14:textId="77777777" w:rsidTr="0089643E">
        <w:trPr>
          <w:cantSplit/>
          <w:trHeight w:val="290"/>
          <w:tblHeader/>
          <w:jc w:val="center"/>
        </w:trPr>
        <w:tc>
          <w:tcPr>
            <w:tcW w:w="734" w:type="pct"/>
          </w:tcPr>
          <w:p w14:paraId="600C0B6D"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510 to 539 calendar days</w:t>
            </w:r>
          </w:p>
        </w:tc>
        <w:tc>
          <w:tcPr>
            <w:tcW w:w="1071" w:type="pct"/>
          </w:tcPr>
          <w:p w14:paraId="491F3AA6"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15</w:t>
            </w:r>
          </w:p>
        </w:tc>
        <w:tc>
          <w:tcPr>
            <w:tcW w:w="1071" w:type="pct"/>
          </w:tcPr>
          <w:p w14:paraId="4E19DB47"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0</w:t>
            </w:r>
          </w:p>
        </w:tc>
      </w:tr>
      <w:tr w:rsidR="00AB09A7" w:rsidRPr="008E75FC" w14:paraId="63FFEA5C" w14:textId="77777777" w:rsidTr="0089643E">
        <w:trPr>
          <w:cantSplit/>
          <w:trHeight w:val="290"/>
          <w:tblHeader/>
          <w:jc w:val="center"/>
        </w:trPr>
        <w:tc>
          <w:tcPr>
            <w:tcW w:w="734" w:type="pct"/>
          </w:tcPr>
          <w:p w14:paraId="3FF7B4D7"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540 to 569 calendar days</w:t>
            </w:r>
          </w:p>
        </w:tc>
        <w:tc>
          <w:tcPr>
            <w:tcW w:w="1071" w:type="pct"/>
          </w:tcPr>
          <w:p w14:paraId="1CE16949"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23</w:t>
            </w:r>
          </w:p>
        </w:tc>
        <w:tc>
          <w:tcPr>
            <w:tcW w:w="1071" w:type="pct"/>
          </w:tcPr>
          <w:p w14:paraId="0E90CC72"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0</w:t>
            </w:r>
          </w:p>
        </w:tc>
      </w:tr>
      <w:tr w:rsidR="00AB09A7" w:rsidRPr="008E75FC" w14:paraId="0BB91298" w14:textId="77777777" w:rsidTr="0089643E">
        <w:trPr>
          <w:cantSplit/>
          <w:trHeight w:val="290"/>
          <w:tblHeader/>
          <w:jc w:val="center"/>
        </w:trPr>
        <w:tc>
          <w:tcPr>
            <w:tcW w:w="734" w:type="pct"/>
          </w:tcPr>
          <w:p w14:paraId="6BCEA70F"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570 to 599 calendar days</w:t>
            </w:r>
          </w:p>
        </w:tc>
        <w:tc>
          <w:tcPr>
            <w:tcW w:w="1071" w:type="pct"/>
          </w:tcPr>
          <w:p w14:paraId="71EBC9E8"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20</w:t>
            </w:r>
          </w:p>
        </w:tc>
        <w:tc>
          <w:tcPr>
            <w:tcW w:w="1071" w:type="pct"/>
          </w:tcPr>
          <w:p w14:paraId="7DADB300"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1</w:t>
            </w:r>
          </w:p>
        </w:tc>
      </w:tr>
      <w:tr w:rsidR="00AB09A7" w:rsidRPr="008E75FC" w14:paraId="77954C71" w14:textId="77777777" w:rsidTr="0089643E">
        <w:trPr>
          <w:cantSplit/>
          <w:trHeight w:val="290"/>
          <w:tblHeader/>
          <w:jc w:val="center"/>
        </w:trPr>
        <w:tc>
          <w:tcPr>
            <w:tcW w:w="734" w:type="pct"/>
          </w:tcPr>
          <w:p w14:paraId="560B13FB"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600 to 629 calendar days</w:t>
            </w:r>
          </w:p>
        </w:tc>
        <w:tc>
          <w:tcPr>
            <w:tcW w:w="1071" w:type="pct"/>
          </w:tcPr>
          <w:p w14:paraId="020A57F5"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18</w:t>
            </w:r>
          </w:p>
        </w:tc>
        <w:tc>
          <w:tcPr>
            <w:tcW w:w="1071" w:type="pct"/>
          </w:tcPr>
          <w:p w14:paraId="61DD0853"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0</w:t>
            </w:r>
          </w:p>
        </w:tc>
      </w:tr>
      <w:tr w:rsidR="00AB09A7" w:rsidRPr="008E75FC" w14:paraId="4BD94C5A" w14:textId="77777777" w:rsidTr="0089643E">
        <w:trPr>
          <w:cantSplit/>
          <w:trHeight w:val="290"/>
          <w:tblHeader/>
          <w:jc w:val="center"/>
        </w:trPr>
        <w:tc>
          <w:tcPr>
            <w:tcW w:w="734" w:type="pct"/>
          </w:tcPr>
          <w:p w14:paraId="35A2784C"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630 to 659 calendar days</w:t>
            </w:r>
          </w:p>
        </w:tc>
        <w:tc>
          <w:tcPr>
            <w:tcW w:w="1071" w:type="pct"/>
          </w:tcPr>
          <w:p w14:paraId="34EDCF28"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11</w:t>
            </w:r>
          </w:p>
        </w:tc>
        <w:tc>
          <w:tcPr>
            <w:tcW w:w="1071" w:type="pct"/>
          </w:tcPr>
          <w:p w14:paraId="2230F951"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0</w:t>
            </w:r>
          </w:p>
        </w:tc>
      </w:tr>
      <w:tr w:rsidR="00AB09A7" w:rsidRPr="008E75FC" w14:paraId="3A6A4381" w14:textId="77777777" w:rsidTr="0089643E">
        <w:trPr>
          <w:cantSplit/>
          <w:trHeight w:val="290"/>
          <w:tblHeader/>
          <w:jc w:val="center"/>
        </w:trPr>
        <w:tc>
          <w:tcPr>
            <w:tcW w:w="734" w:type="pct"/>
          </w:tcPr>
          <w:p w14:paraId="6A52EDD0"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660 to 689 calendar days</w:t>
            </w:r>
          </w:p>
        </w:tc>
        <w:tc>
          <w:tcPr>
            <w:tcW w:w="1071" w:type="pct"/>
          </w:tcPr>
          <w:p w14:paraId="0A7A2B98"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15</w:t>
            </w:r>
          </w:p>
        </w:tc>
        <w:tc>
          <w:tcPr>
            <w:tcW w:w="1071" w:type="pct"/>
          </w:tcPr>
          <w:p w14:paraId="0BE71055"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0</w:t>
            </w:r>
          </w:p>
        </w:tc>
      </w:tr>
      <w:tr w:rsidR="00AB09A7" w:rsidRPr="008E75FC" w14:paraId="683ACB7D" w14:textId="77777777" w:rsidTr="0089643E">
        <w:trPr>
          <w:cantSplit/>
          <w:trHeight w:val="290"/>
          <w:tblHeader/>
          <w:jc w:val="center"/>
        </w:trPr>
        <w:tc>
          <w:tcPr>
            <w:tcW w:w="734" w:type="pct"/>
          </w:tcPr>
          <w:p w14:paraId="19AC6F4D"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690 to 719 calendar days</w:t>
            </w:r>
          </w:p>
        </w:tc>
        <w:tc>
          <w:tcPr>
            <w:tcW w:w="1071" w:type="pct"/>
          </w:tcPr>
          <w:p w14:paraId="0736A2BC"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6</w:t>
            </w:r>
          </w:p>
        </w:tc>
        <w:tc>
          <w:tcPr>
            <w:tcW w:w="1071" w:type="pct"/>
          </w:tcPr>
          <w:p w14:paraId="560DBDE5"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1</w:t>
            </w:r>
          </w:p>
        </w:tc>
      </w:tr>
      <w:tr w:rsidR="00AB09A7" w:rsidRPr="008E75FC" w14:paraId="350AB92A" w14:textId="77777777" w:rsidTr="0089643E">
        <w:trPr>
          <w:cantSplit/>
          <w:trHeight w:val="302"/>
          <w:tblHeader/>
          <w:jc w:val="center"/>
        </w:trPr>
        <w:tc>
          <w:tcPr>
            <w:tcW w:w="734" w:type="pct"/>
          </w:tcPr>
          <w:p w14:paraId="329D5753"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720 to 749 calendar days</w:t>
            </w:r>
          </w:p>
        </w:tc>
        <w:tc>
          <w:tcPr>
            <w:tcW w:w="1071" w:type="pct"/>
          </w:tcPr>
          <w:p w14:paraId="592BC79E"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11</w:t>
            </w:r>
          </w:p>
        </w:tc>
        <w:tc>
          <w:tcPr>
            <w:tcW w:w="1071" w:type="pct"/>
          </w:tcPr>
          <w:p w14:paraId="7F95E8A3"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0</w:t>
            </w:r>
          </w:p>
        </w:tc>
      </w:tr>
      <w:tr w:rsidR="00AB09A7" w:rsidRPr="008E75FC" w14:paraId="76A6D8B4" w14:textId="77777777" w:rsidTr="0089643E">
        <w:trPr>
          <w:cantSplit/>
          <w:trHeight w:val="290"/>
          <w:tblHeader/>
          <w:jc w:val="center"/>
        </w:trPr>
        <w:tc>
          <w:tcPr>
            <w:tcW w:w="734" w:type="pct"/>
          </w:tcPr>
          <w:p w14:paraId="776E5526"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750 to 779 calendar days</w:t>
            </w:r>
          </w:p>
        </w:tc>
        <w:tc>
          <w:tcPr>
            <w:tcW w:w="1071" w:type="pct"/>
          </w:tcPr>
          <w:p w14:paraId="5EC58B4A"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6</w:t>
            </w:r>
          </w:p>
        </w:tc>
        <w:tc>
          <w:tcPr>
            <w:tcW w:w="1071" w:type="pct"/>
          </w:tcPr>
          <w:p w14:paraId="5B7D72B8"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0</w:t>
            </w:r>
          </w:p>
        </w:tc>
      </w:tr>
      <w:tr w:rsidR="00AB09A7" w:rsidRPr="008E75FC" w14:paraId="5589FD4B" w14:textId="77777777" w:rsidTr="0089643E">
        <w:trPr>
          <w:cantSplit/>
          <w:trHeight w:val="290"/>
          <w:tblHeader/>
          <w:jc w:val="center"/>
        </w:trPr>
        <w:tc>
          <w:tcPr>
            <w:tcW w:w="734" w:type="pct"/>
          </w:tcPr>
          <w:p w14:paraId="79D465C0"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780 to 809 calendar days</w:t>
            </w:r>
          </w:p>
        </w:tc>
        <w:tc>
          <w:tcPr>
            <w:tcW w:w="1071" w:type="pct"/>
          </w:tcPr>
          <w:p w14:paraId="64507A66"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5</w:t>
            </w:r>
          </w:p>
        </w:tc>
        <w:tc>
          <w:tcPr>
            <w:tcW w:w="1071" w:type="pct"/>
          </w:tcPr>
          <w:p w14:paraId="7E747A6F"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0</w:t>
            </w:r>
          </w:p>
        </w:tc>
      </w:tr>
      <w:tr w:rsidR="00AB09A7" w:rsidRPr="008E75FC" w14:paraId="7B39B015" w14:textId="77777777" w:rsidTr="0089643E">
        <w:trPr>
          <w:cantSplit/>
          <w:trHeight w:val="290"/>
          <w:tblHeader/>
          <w:jc w:val="center"/>
        </w:trPr>
        <w:tc>
          <w:tcPr>
            <w:tcW w:w="734" w:type="pct"/>
          </w:tcPr>
          <w:p w14:paraId="29C70196"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810 to 839 calendar days</w:t>
            </w:r>
          </w:p>
        </w:tc>
        <w:tc>
          <w:tcPr>
            <w:tcW w:w="1071" w:type="pct"/>
          </w:tcPr>
          <w:p w14:paraId="52949B14"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6</w:t>
            </w:r>
          </w:p>
        </w:tc>
        <w:tc>
          <w:tcPr>
            <w:tcW w:w="1071" w:type="pct"/>
          </w:tcPr>
          <w:p w14:paraId="2A0E21F6"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0</w:t>
            </w:r>
          </w:p>
        </w:tc>
      </w:tr>
      <w:tr w:rsidR="00AB09A7" w:rsidRPr="008E75FC" w14:paraId="0CCCC583" w14:textId="77777777" w:rsidTr="0089643E">
        <w:trPr>
          <w:cantSplit/>
          <w:trHeight w:val="290"/>
          <w:tblHeader/>
          <w:jc w:val="center"/>
        </w:trPr>
        <w:tc>
          <w:tcPr>
            <w:tcW w:w="734" w:type="pct"/>
          </w:tcPr>
          <w:p w14:paraId="6F250E09"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840 to 869 calendar days</w:t>
            </w:r>
          </w:p>
        </w:tc>
        <w:tc>
          <w:tcPr>
            <w:tcW w:w="1071" w:type="pct"/>
          </w:tcPr>
          <w:p w14:paraId="7B986B92"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10</w:t>
            </w:r>
          </w:p>
        </w:tc>
        <w:tc>
          <w:tcPr>
            <w:tcW w:w="1071" w:type="pct"/>
          </w:tcPr>
          <w:p w14:paraId="2163CD6E"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0</w:t>
            </w:r>
          </w:p>
        </w:tc>
      </w:tr>
      <w:tr w:rsidR="00AB09A7" w:rsidRPr="008E75FC" w14:paraId="3CF54D4E" w14:textId="77777777" w:rsidTr="0089643E">
        <w:trPr>
          <w:cantSplit/>
          <w:trHeight w:val="290"/>
          <w:tblHeader/>
          <w:jc w:val="center"/>
        </w:trPr>
        <w:tc>
          <w:tcPr>
            <w:tcW w:w="734" w:type="pct"/>
          </w:tcPr>
          <w:p w14:paraId="26C1F02F"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870 to 899 calendar days</w:t>
            </w:r>
          </w:p>
        </w:tc>
        <w:tc>
          <w:tcPr>
            <w:tcW w:w="1071" w:type="pct"/>
          </w:tcPr>
          <w:p w14:paraId="7927FA63"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1</w:t>
            </w:r>
          </w:p>
        </w:tc>
        <w:tc>
          <w:tcPr>
            <w:tcW w:w="1071" w:type="pct"/>
          </w:tcPr>
          <w:p w14:paraId="0DBD9477"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0</w:t>
            </w:r>
          </w:p>
        </w:tc>
      </w:tr>
      <w:tr w:rsidR="00AB09A7" w:rsidRPr="008E75FC" w14:paraId="349B7C6C" w14:textId="77777777" w:rsidTr="0089643E">
        <w:trPr>
          <w:cantSplit/>
          <w:trHeight w:val="290"/>
          <w:tblHeader/>
          <w:jc w:val="center"/>
        </w:trPr>
        <w:tc>
          <w:tcPr>
            <w:tcW w:w="734" w:type="pct"/>
          </w:tcPr>
          <w:p w14:paraId="29A38C65"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900 to 929 calendar days</w:t>
            </w:r>
          </w:p>
        </w:tc>
        <w:tc>
          <w:tcPr>
            <w:tcW w:w="1071" w:type="pct"/>
          </w:tcPr>
          <w:p w14:paraId="024DB71E"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4</w:t>
            </w:r>
          </w:p>
        </w:tc>
        <w:tc>
          <w:tcPr>
            <w:tcW w:w="1071" w:type="pct"/>
          </w:tcPr>
          <w:p w14:paraId="7A76A4C1"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0</w:t>
            </w:r>
          </w:p>
        </w:tc>
      </w:tr>
      <w:tr w:rsidR="00AB09A7" w:rsidRPr="008E75FC" w14:paraId="0A6116E4" w14:textId="77777777" w:rsidTr="0089643E">
        <w:trPr>
          <w:cantSplit/>
          <w:trHeight w:val="290"/>
          <w:tblHeader/>
          <w:jc w:val="center"/>
        </w:trPr>
        <w:tc>
          <w:tcPr>
            <w:tcW w:w="734" w:type="pct"/>
          </w:tcPr>
          <w:p w14:paraId="4C0112D3"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930 to 959 calendar days</w:t>
            </w:r>
          </w:p>
        </w:tc>
        <w:tc>
          <w:tcPr>
            <w:tcW w:w="1071" w:type="pct"/>
          </w:tcPr>
          <w:p w14:paraId="603C0F74"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5</w:t>
            </w:r>
          </w:p>
        </w:tc>
        <w:tc>
          <w:tcPr>
            <w:tcW w:w="1071" w:type="pct"/>
          </w:tcPr>
          <w:p w14:paraId="7B29B712"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0</w:t>
            </w:r>
          </w:p>
        </w:tc>
      </w:tr>
      <w:tr w:rsidR="00AB09A7" w:rsidRPr="008E75FC" w14:paraId="3ACA21AD" w14:textId="77777777" w:rsidTr="0089643E">
        <w:trPr>
          <w:cantSplit/>
          <w:trHeight w:val="290"/>
          <w:tblHeader/>
          <w:jc w:val="center"/>
        </w:trPr>
        <w:tc>
          <w:tcPr>
            <w:tcW w:w="734" w:type="pct"/>
          </w:tcPr>
          <w:p w14:paraId="49B7EB4A"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960 to 989 calendar days</w:t>
            </w:r>
          </w:p>
        </w:tc>
        <w:tc>
          <w:tcPr>
            <w:tcW w:w="1071" w:type="pct"/>
          </w:tcPr>
          <w:p w14:paraId="2FCA5425"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4</w:t>
            </w:r>
          </w:p>
        </w:tc>
        <w:tc>
          <w:tcPr>
            <w:tcW w:w="1071" w:type="pct"/>
          </w:tcPr>
          <w:p w14:paraId="000AD641"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0</w:t>
            </w:r>
          </w:p>
        </w:tc>
      </w:tr>
      <w:tr w:rsidR="00AB09A7" w:rsidRPr="008E75FC" w14:paraId="524FB286" w14:textId="77777777" w:rsidTr="0089643E">
        <w:trPr>
          <w:cantSplit/>
          <w:trHeight w:val="290"/>
          <w:tblHeader/>
          <w:jc w:val="center"/>
        </w:trPr>
        <w:tc>
          <w:tcPr>
            <w:tcW w:w="734" w:type="pct"/>
          </w:tcPr>
          <w:p w14:paraId="777ACE2D" w14:textId="77777777" w:rsidR="00AB09A7" w:rsidRPr="008E75FC" w:rsidRDefault="00AB09A7" w:rsidP="00775CE4">
            <w:pPr>
              <w:autoSpaceDE w:val="0"/>
              <w:autoSpaceDN w:val="0"/>
              <w:adjustRightInd w:val="0"/>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More than 990 calendar days</w:t>
            </w:r>
          </w:p>
        </w:tc>
        <w:tc>
          <w:tcPr>
            <w:tcW w:w="1071" w:type="pct"/>
          </w:tcPr>
          <w:p w14:paraId="3D448424"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43</w:t>
            </w:r>
          </w:p>
        </w:tc>
        <w:tc>
          <w:tcPr>
            <w:tcW w:w="1071" w:type="pct"/>
          </w:tcPr>
          <w:p w14:paraId="088E3338" w14:textId="77777777" w:rsidR="00AB09A7" w:rsidRPr="008E75FC" w:rsidRDefault="00AB09A7" w:rsidP="00775CE4">
            <w:pPr>
              <w:autoSpaceDE w:val="0"/>
              <w:autoSpaceDN w:val="0"/>
              <w:adjustRightInd w:val="0"/>
              <w:jc w:val="center"/>
              <w:rPr>
                <w:rFonts w:asciiTheme="minorHAnsi" w:hAnsiTheme="minorHAnsi" w:cstheme="minorHAnsi"/>
                <w:color w:val="000000"/>
                <w:sz w:val="22"/>
                <w:szCs w:val="22"/>
                <w:lang w:val="en-CA"/>
              </w:rPr>
            </w:pPr>
            <w:r w:rsidRPr="008E75FC">
              <w:rPr>
                <w:rFonts w:asciiTheme="minorHAnsi" w:hAnsiTheme="minorHAnsi" w:cstheme="minorHAnsi"/>
                <w:color w:val="000000"/>
                <w:sz w:val="22"/>
                <w:szCs w:val="22"/>
                <w:lang w:val="en-CA"/>
              </w:rPr>
              <w:t>1</w:t>
            </w:r>
          </w:p>
        </w:tc>
      </w:tr>
    </w:tbl>
    <w:p w14:paraId="3EF903B2" w14:textId="77777777" w:rsidR="00244BB9" w:rsidRPr="008E75FC" w:rsidRDefault="00244BB9" w:rsidP="002549B0">
      <w:pPr>
        <w:rPr>
          <w:rFonts w:asciiTheme="minorHAnsi" w:hAnsiTheme="minorHAnsi" w:cstheme="minorHAnsi"/>
          <w:lang w:val="en-CA"/>
        </w:rPr>
      </w:pPr>
    </w:p>
    <w:p w14:paraId="115CF430" w14:textId="77777777" w:rsidR="00244BB9" w:rsidRPr="008E75FC" w:rsidRDefault="00244BB9" w:rsidP="002549B0">
      <w:pPr>
        <w:rPr>
          <w:rFonts w:asciiTheme="minorHAnsi" w:hAnsiTheme="minorHAnsi" w:cstheme="minorHAnsi"/>
          <w:lang w:val="en-CA"/>
        </w:rPr>
        <w:sectPr w:rsidR="00244BB9" w:rsidRPr="008E75FC" w:rsidSect="00244BB9">
          <w:pgSz w:w="24480" w:h="15840" w:orient="landscape" w:code="3"/>
          <w:pgMar w:top="1025" w:right="720" w:bottom="720" w:left="720" w:header="708" w:footer="708" w:gutter="0"/>
          <w:cols w:space="708"/>
          <w:titlePg/>
          <w:docGrid w:linePitch="360"/>
        </w:sectPr>
      </w:pPr>
    </w:p>
    <w:p w14:paraId="720F9542" w14:textId="7F582626" w:rsidR="00244BB9" w:rsidRPr="008E75FC" w:rsidRDefault="00C57B8B" w:rsidP="00C57B8B">
      <w:pPr>
        <w:pStyle w:val="Heading1"/>
        <w:spacing w:before="120" w:after="120"/>
        <w:rPr>
          <w:sz w:val="40"/>
          <w:lang w:val="en-CA"/>
        </w:rPr>
      </w:pPr>
      <w:r w:rsidRPr="008E75FC">
        <w:rPr>
          <w:sz w:val="40"/>
          <w:lang w:val="en-CA"/>
        </w:rPr>
        <w:lastRenderedPageBreak/>
        <w:t>External time to staff</w:t>
      </w:r>
    </w:p>
    <w:p w14:paraId="4AED9962" w14:textId="77777777" w:rsidR="00C57B8B" w:rsidRPr="008E75FC" w:rsidRDefault="00244BB9" w:rsidP="00C57B8B">
      <w:pPr>
        <w:keepNext/>
        <w:rPr>
          <w:lang w:val="en-CA"/>
        </w:rPr>
      </w:pPr>
      <w:r w:rsidRPr="008E75FC">
        <w:rPr>
          <w:rFonts w:asciiTheme="minorHAnsi" w:hAnsiTheme="minorHAnsi" w:cstheme="minorHAnsi"/>
          <w:noProof/>
          <w:lang w:val="en-CA" w:eastAsia="en-CA"/>
        </w:rPr>
        <w:drawing>
          <wp:inline distT="0" distB="0" distL="0" distR="0" wp14:anchorId="73C0D63C" wp14:editId="67A2A693">
            <wp:extent cx="5648400" cy="3049200"/>
            <wp:effectExtent l="0" t="0" r="9525" b="18415"/>
            <wp:docPr id="21" name="Chart 21" descr="External time to staff, Public service median = 203 days, 2019-202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C57B8B" w:rsidRPr="008E75FC">
        <w:rPr>
          <w:rFonts w:asciiTheme="minorHAnsi" w:hAnsiTheme="minorHAnsi" w:cstheme="minorHAnsi"/>
          <w:noProof/>
          <w:lang w:val="en-CA" w:eastAsia="en-CA"/>
        </w:rPr>
        <w:drawing>
          <wp:inline distT="0" distB="0" distL="0" distR="0" wp14:anchorId="1310D2DD" wp14:editId="66BF7728">
            <wp:extent cx="5648400" cy="3049200"/>
            <wp:effectExtent l="0" t="0" r="9525" b="18415"/>
            <wp:docPr id="11" name="Chart 11" descr="External time to staff, Indigenous and Northern Affairs Canada median = 248 days, 2019-202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73525CA" w14:textId="4FBC574C" w:rsidR="00C57B8B" w:rsidRPr="008E75FC" w:rsidRDefault="00C57B8B" w:rsidP="00C57B8B">
      <w:pPr>
        <w:pStyle w:val="Caption"/>
        <w:tabs>
          <w:tab w:val="left" w:pos="8930"/>
        </w:tabs>
        <w:rPr>
          <w:rFonts w:asciiTheme="minorHAnsi" w:hAnsiTheme="minorHAnsi" w:cstheme="minorHAnsi"/>
          <w:i w:val="0"/>
          <w:color w:val="auto"/>
          <w:lang w:val="en-CA"/>
        </w:rPr>
      </w:pPr>
      <w:r w:rsidRPr="008E75FC">
        <w:rPr>
          <w:rFonts w:asciiTheme="minorHAnsi" w:hAnsiTheme="minorHAnsi" w:cstheme="minorHAnsi"/>
          <w:i w:val="0"/>
          <w:color w:val="auto"/>
          <w:lang w:val="en-CA"/>
        </w:rPr>
        <w:t xml:space="preserve">Figure </w:t>
      </w:r>
      <w:r w:rsidRPr="008E75FC">
        <w:rPr>
          <w:rFonts w:asciiTheme="minorHAnsi" w:hAnsiTheme="minorHAnsi" w:cstheme="minorHAnsi"/>
          <w:i w:val="0"/>
          <w:color w:val="auto"/>
          <w:lang w:val="en-CA"/>
        </w:rPr>
        <w:fldChar w:fldCharType="begin"/>
      </w:r>
      <w:r w:rsidRPr="008E75FC">
        <w:rPr>
          <w:rFonts w:asciiTheme="minorHAnsi" w:hAnsiTheme="minorHAnsi" w:cstheme="minorHAnsi"/>
          <w:i w:val="0"/>
          <w:color w:val="auto"/>
          <w:lang w:val="en-CA"/>
        </w:rPr>
        <w:instrText xml:space="preserve"> SEQ Figure \* ARABIC </w:instrText>
      </w:r>
      <w:r w:rsidRPr="008E75FC">
        <w:rPr>
          <w:rFonts w:asciiTheme="minorHAnsi" w:hAnsiTheme="minorHAnsi" w:cstheme="minorHAnsi"/>
          <w:i w:val="0"/>
          <w:color w:val="auto"/>
          <w:lang w:val="en-CA"/>
        </w:rPr>
        <w:fldChar w:fldCharType="separate"/>
      </w:r>
      <w:r w:rsidRPr="008E75FC">
        <w:rPr>
          <w:rFonts w:asciiTheme="minorHAnsi" w:hAnsiTheme="minorHAnsi" w:cstheme="minorHAnsi"/>
          <w:i w:val="0"/>
          <w:noProof/>
          <w:color w:val="auto"/>
          <w:lang w:val="en-CA"/>
        </w:rPr>
        <w:t>14</w:t>
      </w:r>
      <w:r w:rsidRPr="008E75FC">
        <w:rPr>
          <w:rFonts w:asciiTheme="minorHAnsi" w:hAnsiTheme="minorHAnsi" w:cstheme="minorHAnsi"/>
          <w:i w:val="0"/>
          <w:color w:val="auto"/>
          <w:lang w:val="en-CA"/>
        </w:rPr>
        <w:fldChar w:fldCharType="end"/>
      </w:r>
      <w:r w:rsidRPr="008E75FC">
        <w:rPr>
          <w:rFonts w:asciiTheme="minorHAnsi" w:hAnsiTheme="minorHAnsi" w:cstheme="minorHAnsi"/>
          <w:i w:val="0"/>
          <w:color w:val="auto"/>
          <w:lang w:val="en-CA"/>
        </w:rPr>
        <w:t xml:space="preserve"> - External time to staff Public service median = 203 days, 2019-20</w:t>
      </w:r>
      <w:r w:rsidR="00870785">
        <w:rPr>
          <w:rFonts w:asciiTheme="minorHAnsi" w:hAnsiTheme="minorHAnsi" w:cstheme="minorHAnsi"/>
          <w:i w:val="0"/>
          <w:color w:val="auto"/>
          <w:lang w:val="en-CA"/>
        </w:rPr>
        <w:t>20</w:t>
      </w:r>
      <w:r w:rsidRPr="008E75FC">
        <w:rPr>
          <w:rFonts w:asciiTheme="minorHAnsi" w:hAnsiTheme="minorHAnsi" w:cstheme="minorHAnsi"/>
          <w:i w:val="0"/>
          <w:color w:val="auto"/>
          <w:lang w:val="en-CA"/>
        </w:rPr>
        <w:tab/>
        <w:t xml:space="preserve">Figure </w:t>
      </w:r>
      <w:r w:rsidRPr="008E75FC">
        <w:rPr>
          <w:rFonts w:asciiTheme="minorHAnsi" w:hAnsiTheme="minorHAnsi" w:cstheme="minorHAnsi"/>
          <w:i w:val="0"/>
          <w:color w:val="auto"/>
          <w:lang w:val="en-CA"/>
        </w:rPr>
        <w:fldChar w:fldCharType="begin"/>
      </w:r>
      <w:r w:rsidRPr="008E75FC">
        <w:rPr>
          <w:rFonts w:asciiTheme="minorHAnsi" w:hAnsiTheme="minorHAnsi" w:cstheme="minorHAnsi"/>
          <w:i w:val="0"/>
          <w:color w:val="auto"/>
          <w:lang w:val="en-CA"/>
        </w:rPr>
        <w:instrText xml:space="preserve"> SEQ Figure \* ARABIC </w:instrText>
      </w:r>
      <w:r w:rsidRPr="008E75FC">
        <w:rPr>
          <w:rFonts w:asciiTheme="minorHAnsi" w:hAnsiTheme="minorHAnsi" w:cstheme="minorHAnsi"/>
          <w:i w:val="0"/>
          <w:color w:val="auto"/>
          <w:lang w:val="en-CA"/>
        </w:rPr>
        <w:fldChar w:fldCharType="separate"/>
      </w:r>
      <w:r w:rsidRPr="008E75FC">
        <w:rPr>
          <w:rFonts w:asciiTheme="minorHAnsi" w:hAnsiTheme="minorHAnsi" w:cstheme="minorHAnsi"/>
          <w:i w:val="0"/>
          <w:noProof/>
          <w:color w:val="auto"/>
          <w:lang w:val="en-CA"/>
        </w:rPr>
        <w:t>15</w:t>
      </w:r>
      <w:r w:rsidRPr="008E75FC">
        <w:rPr>
          <w:rFonts w:asciiTheme="minorHAnsi" w:hAnsiTheme="minorHAnsi" w:cstheme="minorHAnsi"/>
          <w:i w:val="0"/>
          <w:color w:val="auto"/>
          <w:lang w:val="en-CA"/>
        </w:rPr>
        <w:fldChar w:fldCharType="end"/>
      </w:r>
      <w:r w:rsidRPr="008E75FC">
        <w:rPr>
          <w:rFonts w:asciiTheme="minorHAnsi" w:hAnsiTheme="minorHAnsi" w:cstheme="minorHAnsi"/>
          <w:i w:val="0"/>
          <w:color w:val="auto"/>
          <w:lang w:val="en-CA"/>
        </w:rPr>
        <w:t xml:space="preserve"> - External time to staff Indigenous and Northern Affairs Canada median = 248 days, 2019-20</w:t>
      </w:r>
      <w:r w:rsidR="00870785">
        <w:rPr>
          <w:rFonts w:asciiTheme="minorHAnsi" w:hAnsiTheme="minorHAnsi" w:cstheme="minorHAnsi"/>
          <w:i w:val="0"/>
          <w:color w:val="auto"/>
          <w:lang w:val="en-CA"/>
        </w:rPr>
        <w:t>20</w:t>
      </w:r>
    </w:p>
    <w:p w14:paraId="5918012A" w14:textId="3B2F2A1C" w:rsidR="00C57B8B" w:rsidRPr="008E75FC" w:rsidRDefault="0025296D" w:rsidP="00C57B8B">
      <w:pPr>
        <w:numPr>
          <w:ilvl w:val="1"/>
          <w:numId w:val="0"/>
        </w:numPr>
        <w:spacing w:before="240" w:after="120"/>
        <w:rPr>
          <w:rFonts w:asciiTheme="minorHAnsi" w:eastAsiaTheme="minorHAnsi" w:hAnsiTheme="minorHAnsi" w:cstheme="minorHAnsi"/>
          <w:sz w:val="22"/>
          <w:szCs w:val="22"/>
          <w:lang w:val="en-CA"/>
        </w:rPr>
      </w:pPr>
      <w:hyperlink w:anchor="External_time_to_staff" w:history="1">
        <w:r w:rsidR="00C57B8B" w:rsidRPr="008E75FC">
          <w:rPr>
            <w:rStyle w:val="Hyperlink"/>
            <w:rFonts w:asciiTheme="minorHAnsi" w:eastAsiaTheme="minorHAnsi" w:hAnsiTheme="minorHAnsi" w:cstheme="minorHAnsi"/>
            <w:sz w:val="22"/>
            <w:szCs w:val="22"/>
            <w:lang w:val="en-CA"/>
          </w:rPr>
          <w:t>External time to staff data table available here</w:t>
        </w:r>
      </w:hyperlink>
      <w:r w:rsidR="00C57B8B" w:rsidRPr="008E75FC">
        <w:rPr>
          <w:rFonts w:asciiTheme="minorHAnsi" w:eastAsiaTheme="minorHAnsi" w:hAnsiTheme="minorHAnsi" w:cstheme="minorHAnsi"/>
          <w:sz w:val="22"/>
          <w:szCs w:val="22"/>
          <w:lang w:val="en-CA"/>
        </w:rPr>
        <w:t>.</w:t>
      </w:r>
    </w:p>
    <w:p w14:paraId="661FCB47" w14:textId="77777777" w:rsidR="00C57B8B" w:rsidRPr="008E75FC" w:rsidRDefault="00C57B8B" w:rsidP="002549B0">
      <w:pPr>
        <w:rPr>
          <w:rFonts w:asciiTheme="minorHAnsi" w:hAnsiTheme="minorHAnsi" w:cstheme="minorHAnsi"/>
          <w:sz w:val="22"/>
          <w:szCs w:val="22"/>
          <w:lang w:val="en-CA" w:eastAsia="en-CA"/>
        </w:rPr>
        <w:sectPr w:rsidR="00C57B8B" w:rsidRPr="008E75FC" w:rsidSect="00244BB9">
          <w:pgSz w:w="20160" w:h="12240" w:orient="landscape" w:code="5"/>
          <w:pgMar w:top="1025" w:right="720" w:bottom="720" w:left="720" w:header="708" w:footer="708" w:gutter="0"/>
          <w:cols w:space="708"/>
          <w:titlePg/>
          <w:docGrid w:linePitch="360"/>
        </w:sectPr>
      </w:pPr>
    </w:p>
    <w:p w14:paraId="2038C1B9" w14:textId="572CA0C0" w:rsidR="00244BB9" w:rsidRPr="008E75FC" w:rsidRDefault="00244BB9" w:rsidP="00C57B8B">
      <w:pPr>
        <w:spacing w:after="120"/>
        <w:rPr>
          <w:rFonts w:asciiTheme="minorHAnsi" w:hAnsiTheme="minorHAnsi" w:cstheme="minorHAnsi"/>
          <w:sz w:val="22"/>
          <w:szCs w:val="22"/>
          <w:lang w:val="en-CA"/>
        </w:rPr>
      </w:pPr>
      <w:r w:rsidRPr="008E75FC">
        <w:rPr>
          <w:rFonts w:asciiTheme="minorHAnsi" w:hAnsiTheme="minorHAnsi" w:cstheme="minorHAnsi"/>
          <w:sz w:val="22"/>
          <w:szCs w:val="22"/>
          <w:lang w:val="en-CA" w:eastAsia="en-CA"/>
        </w:rPr>
        <w:t>External time to staff is calculated as the number of calendar days between the opening date of the advertisement and the date of the first estimated external hire</w:t>
      </w:r>
    </w:p>
    <w:p w14:paraId="77000780" w14:textId="77777777" w:rsidR="00C57B8B" w:rsidRPr="008E75FC" w:rsidRDefault="00C57B8B" w:rsidP="00870785">
      <w:pPr>
        <w:spacing w:after="120"/>
        <w:rPr>
          <w:rFonts w:asciiTheme="minorHAnsi" w:hAnsiTheme="minorHAnsi" w:cstheme="minorHAnsi"/>
          <w:sz w:val="22"/>
          <w:szCs w:val="22"/>
          <w:lang w:val="en-CA"/>
        </w:rPr>
      </w:pPr>
      <w:r w:rsidRPr="008E75FC">
        <w:rPr>
          <w:rFonts w:asciiTheme="minorHAnsi" w:hAnsiTheme="minorHAnsi" w:cstheme="minorHAnsi"/>
          <w:sz w:val="22"/>
          <w:szCs w:val="22"/>
          <w:lang w:val="en-CA"/>
        </w:rPr>
        <w:t xml:space="preserve">The median external time to staff for the public service (organizations subject to the </w:t>
      </w:r>
      <w:r w:rsidRPr="008E75FC">
        <w:rPr>
          <w:rStyle w:val="Emphasis"/>
          <w:rFonts w:asciiTheme="minorHAnsi" w:hAnsiTheme="minorHAnsi" w:cstheme="minorHAnsi"/>
          <w:sz w:val="22"/>
          <w:lang w:val="en-CA"/>
        </w:rPr>
        <w:t>Public Service Employment Act</w:t>
      </w:r>
      <w:r w:rsidRPr="008E75FC">
        <w:rPr>
          <w:rFonts w:asciiTheme="minorHAnsi" w:hAnsiTheme="minorHAnsi" w:cstheme="minorHAnsi"/>
          <w:sz w:val="22"/>
          <w:szCs w:val="22"/>
          <w:lang w:val="en-CA"/>
        </w:rPr>
        <w:t>) for fiscal year 2019 to 2020 is 203 days</w:t>
      </w:r>
    </w:p>
    <w:p w14:paraId="4664F017" w14:textId="77777777" w:rsidR="00244BB9" w:rsidRPr="008E75FC" w:rsidRDefault="00244BB9" w:rsidP="00775CE4">
      <w:pPr>
        <w:rPr>
          <w:rStyle w:val="Strong"/>
          <w:lang w:val="en-CA"/>
        </w:rPr>
      </w:pPr>
      <w:r w:rsidRPr="008E75FC">
        <w:rPr>
          <w:rStyle w:val="Strong"/>
          <w:lang w:val="en-CA"/>
        </w:rPr>
        <w:t>External time to staff for fiscal year 2019 to 2020</w:t>
      </w:r>
    </w:p>
    <w:p w14:paraId="387B7C06" w14:textId="77777777" w:rsidR="00244BB9" w:rsidRPr="008E75FC" w:rsidRDefault="00244BB9" w:rsidP="00775CE4">
      <w:pPr>
        <w:rPr>
          <w:rFonts w:asciiTheme="minorHAnsi" w:hAnsiTheme="minorHAnsi" w:cstheme="minorHAnsi"/>
          <w:sz w:val="22"/>
          <w:szCs w:val="22"/>
          <w:lang w:val="en-CA"/>
        </w:rPr>
      </w:pPr>
      <w:r w:rsidRPr="008E75FC">
        <w:rPr>
          <w:rFonts w:asciiTheme="minorHAnsi" w:hAnsiTheme="minorHAnsi" w:cstheme="minorHAnsi"/>
          <w:sz w:val="22"/>
          <w:szCs w:val="22"/>
          <w:lang w:val="en-CA"/>
        </w:rPr>
        <w:t>Indigenous and Northern Affairs Canada’s median external time to staff for fiscal year 2019 to 2020 is 248 days</w:t>
      </w:r>
    </w:p>
    <w:p w14:paraId="0CC5FC61" w14:textId="77777777" w:rsidR="00C57B8B" w:rsidRPr="008E75FC" w:rsidRDefault="00C57B8B" w:rsidP="002549B0">
      <w:pPr>
        <w:rPr>
          <w:rFonts w:asciiTheme="minorHAnsi" w:hAnsiTheme="minorHAnsi" w:cstheme="minorHAnsi"/>
          <w:sz w:val="22"/>
          <w:szCs w:val="22"/>
          <w:lang w:val="en-CA"/>
        </w:rPr>
        <w:sectPr w:rsidR="00C57B8B" w:rsidRPr="008E75FC" w:rsidSect="00C57B8B">
          <w:type w:val="continuous"/>
          <w:pgSz w:w="20160" w:h="12240" w:orient="landscape" w:code="5"/>
          <w:pgMar w:top="1025" w:right="720" w:bottom="720" w:left="720" w:header="708" w:footer="708" w:gutter="0"/>
          <w:cols w:num="2" w:space="708"/>
          <w:titlePg/>
          <w:docGrid w:linePitch="360"/>
        </w:sectPr>
      </w:pPr>
    </w:p>
    <w:p w14:paraId="2F969A73" w14:textId="77777777" w:rsidR="00244BB9" w:rsidRPr="008E75FC" w:rsidRDefault="00244BB9" w:rsidP="002549B0">
      <w:pPr>
        <w:rPr>
          <w:rFonts w:asciiTheme="minorHAnsi" w:hAnsiTheme="minorHAnsi" w:cstheme="minorHAnsi"/>
          <w:sz w:val="22"/>
          <w:szCs w:val="22"/>
          <w:lang w:val="en-CA"/>
        </w:rPr>
      </w:pPr>
    </w:p>
    <w:p w14:paraId="3FAFECCB" w14:textId="77777777" w:rsidR="00244BB9" w:rsidRPr="008E75FC" w:rsidRDefault="00244BB9" w:rsidP="002549B0">
      <w:pPr>
        <w:rPr>
          <w:rFonts w:asciiTheme="minorHAnsi" w:hAnsiTheme="minorHAnsi" w:cstheme="minorHAnsi"/>
          <w:sz w:val="22"/>
          <w:szCs w:val="22"/>
          <w:lang w:val="en-CA" w:eastAsia="en-CA"/>
        </w:rPr>
        <w:sectPr w:rsidR="00244BB9" w:rsidRPr="008E75FC" w:rsidSect="00C57B8B">
          <w:type w:val="continuous"/>
          <w:pgSz w:w="20160" w:h="12240" w:orient="landscape" w:code="5"/>
          <w:pgMar w:top="1025" w:right="720" w:bottom="720" w:left="720" w:header="708" w:footer="708" w:gutter="0"/>
          <w:cols w:space="708"/>
          <w:titlePg/>
          <w:docGrid w:linePitch="360"/>
        </w:sectPr>
      </w:pPr>
    </w:p>
    <w:p w14:paraId="5E81EAA0" w14:textId="51A3E527" w:rsidR="00244BB9" w:rsidRPr="008E75FC" w:rsidRDefault="00AB09A7" w:rsidP="00AB09A7">
      <w:pPr>
        <w:pStyle w:val="Heading1"/>
        <w:spacing w:before="120" w:after="120"/>
        <w:rPr>
          <w:sz w:val="40"/>
          <w:lang w:val="en-CA"/>
        </w:rPr>
      </w:pPr>
      <w:r w:rsidRPr="008E75FC">
        <w:rPr>
          <w:sz w:val="40"/>
          <w:lang w:val="en-CA"/>
        </w:rPr>
        <w:lastRenderedPageBreak/>
        <w:t>External time to staff</w:t>
      </w:r>
    </w:p>
    <w:tbl>
      <w:tblPr>
        <w:tblStyle w:val="TableGrid"/>
        <w:tblW w:w="5000" w:type="pct"/>
        <w:jc w:val="center"/>
        <w:tblLook w:val="0020" w:firstRow="1" w:lastRow="0" w:firstColumn="0" w:lastColumn="0" w:noHBand="0" w:noVBand="0"/>
        <w:tblDescription w:val="External time to staff"/>
      </w:tblPr>
      <w:tblGrid>
        <w:gridCol w:w="5919"/>
        <w:gridCol w:w="8558"/>
        <w:gridCol w:w="8553"/>
      </w:tblGrid>
      <w:tr w:rsidR="00AB09A7" w:rsidRPr="00DB1B66" w14:paraId="6E004ECE" w14:textId="77777777" w:rsidTr="0089643E">
        <w:trPr>
          <w:cantSplit/>
          <w:trHeight w:val="290"/>
          <w:tblHeader/>
          <w:jc w:val="center"/>
        </w:trPr>
        <w:tc>
          <w:tcPr>
            <w:tcW w:w="1285" w:type="pct"/>
          </w:tcPr>
          <w:p w14:paraId="1D41D48F" w14:textId="77777777" w:rsidR="00AB09A7" w:rsidRPr="0089643E" w:rsidRDefault="00AB09A7" w:rsidP="00AB09A7">
            <w:pPr>
              <w:pStyle w:val="TableTitle"/>
            </w:pPr>
            <w:bookmarkStart w:id="3" w:name="External_time_to_staff"/>
            <w:r w:rsidRPr="0089643E">
              <w:t>Number of calendar days</w:t>
            </w:r>
            <w:bookmarkEnd w:id="3"/>
          </w:p>
        </w:tc>
        <w:tc>
          <w:tcPr>
            <w:tcW w:w="1858" w:type="pct"/>
          </w:tcPr>
          <w:p w14:paraId="01843444" w14:textId="77777777" w:rsidR="00AB09A7" w:rsidRPr="0089643E" w:rsidRDefault="00AB09A7" w:rsidP="00AB09A7">
            <w:pPr>
              <w:pStyle w:val="TableTitle"/>
            </w:pPr>
            <w:r w:rsidRPr="0089643E">
              <w:t>The number of external appointment processes for which the TTS-EA was within the specified number of calendar days for organizations subject to the Public Service Employment Act</w:t>
            </w:r>
          </w:p>
        </w:tc>
        <w:tc>
          <w:tcPr>
            <w:tcW w:w="1857" w:type="pct"/>
          </w:tcPr>
          <w:p w14:paraId="47D5BEAA" w14:textId="77777777" w:rsidR="00AB09A7" w:rsidRPr="0089643E" w:rsidRDefault="00AB09A7" w:rsidP="00AB09A7">
            <w:pPr>
              <w:pStyle w:val="TableTitle"/>
            </w:pPr>
            <w:r w:rsidRPr="0089643E">
              <w:t>The number of external appointment processes for which the TTS-EA was within the specified number of calendar days for the specified organization</w:t>
            </w:r>
          </w:p>
        </w:tc>
      </w:tr>
      <w:tr w:rsidR="00AB09A7" w:rsidRPr="008E75FC" w14:paraId="16B33764" w14:textId="77777777" w:rsidTr="0089643E">
        <w:trPr>
          <w:cantSplit/>
          <w:trHeight w:val="290"/>
          <w:tblHeader/>
          <w:jc w:val="center"/>
        </w:trPr>
        <w:tc>
          <w:tcPr>
            <w:tcW w:w="1285" w:type="pct"/>
          </w:tcPr>
          <w:p w14:paraId="1CDC3258"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0 calendar days</w:t>
            </w:r>
          </w:p>
        </w:tc>
        <w:tc>
          <w:tcPr>
            <w:tcW w:w="1858" w:type="pct"/>
          </w:tcPr>
          <w:p w14:paraId="46841709"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0</w:t>
            </w:r>
          </w:p>
        </w:tc>
        <w:tc>
          <w:tcPr>
            <w:tcW w:w="1857" w:type="pct"/>
          </w:tcPr>
          <w:p w14:paraId="54748F88"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0</w:t>
            </w:r>
          </w:p>
        </w:tc>
      </w:tr>
      <w:tr w:rsidR="00AB09A7" w:rsidRPr="008E75FC" w14:paraId="3841EC05" w14:textId="77777777" w:rsidTr="0089643E">
        <w:trPr>
          <w:cantSplit/>
          <w:trHeight w:val="290"/>
          <w:tblHeader/>
          <w:jc w:val="center"/>
        </w:trPr>
        <w:tc>
          <w:tcPr>
            <w:tcW w:w="1285" w:type="pct"/>
          </w:tcPr>
          <w:p w14:paraId="7460A8C7"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0 to 29 calendar days</w:t>
            </w:r>
          </w:p>
        </w:tc>
        <w:tc>
          <w:tcPr>
            <w:tcW w:w="1858" w:type="pct"/>
          </w:tcPr>
          <w:p w14:paraId="3B37D600"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55</w:t>
            </w:r>
          </w:p>
        </w:tc>
        <w:tc>
          <w:tcPr>
            <w:tcW w:w="1857" w:type="pct"/>
          </w:tcPr>
          <w:p w14:paraId="681993A4"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1</w:t>
            </w:r>
          </w:p>
        </w:tc>
      </w:tr>
      <w:tr w:rsidR="00AB09A7" w:rsidRPr="008E75FC" w14:paraId="7D52C849" w14:textId="77777777" w:rsidTr="0089643E">
        <w:trPr>
          <w:cantSplit/>
          <w:trHeight w:val="290"/>
          <w:tblHeader/>
          <w:jc w:val="center"/>
        </w:trPr>
        <w:tc>
          <w:tcPr>
            <w:tcW w:w="1285" w:type="pct"/>
          </w:tcPr>
          <w:p w14:paraId="540855CE"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30 to 59 calendar days</w:t>
            </w:r>
          </w:p>
        </w:tc>
        <w:tc>
          <w:tcPr>
            <w:tcW w:w="1858" w:type="pct"/>
          </w:tcPr>
          <w:p w14:paraId="5ED09F71"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75</w:t>
            </w:r>
          </w:p>
        </w:tc>
        <w:tc>
          <w:tcPr>
            <w:tcW w:w="1857" w:type="pct"/>
          </w:tcPr>
          <w:p w14:paraId="0481A991"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2</w:t>
            </w:r>
          </w:p>
        </w:tc>
      </w:tr>
      <w:tr w:rsidR="00AB09A7" w:rsidRPr="008E75FC" w14:paraId="1176AFCC" w14:textId="77777777" w:rsidTr="0089643E">
        <w:trPr>
          <w:cantSplit/>
          <w:trHeight w:val="290"/>
          <w:tblHeader/>
          <w:jc w:val="center"/>
        </w:trPr>
        <w:tc>
          <w:tcPr>
            <w:tcW w:w="1285" w:type="pct"/>
          </w:tcPr>
          <w:p w14:paraId="6BDA8397"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60 to 89 calendar days</w:t>
            </w:r>
          </w:p>
        </w:tc>
        <w:tc>
          <w:tcPr>
            <w:tcW w:w="1858" w:type="pct"/>
          </w:tcPr>
          <w:p w14:paraId="38F7276D"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95</w:t>
            </w:r>
          </w:p>
        </w:tc>
        <w:tc>
          <w:tcPr>
            <w:tcW w:w="1857" w:type="pct"/>
          </w:tcPr>
          <w:p w14:paraId="7CB045E7"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4</w:t>
            </w:r>
          </w:p>
        </w:tc>
      </w:tr>
      <w:tr w:rsidR="00AB09A7" w:rsidRPr="008E75FC" w14:paraId="39B65254" w14:textId="77777777" w:rsidTr="0089643E">
        <w:trPr>
          <w:cantSplit/>
          <w:trHeight w:val="290"/>
          <w:tblHeader/>
          <w:jc w:val="center"/>
        </w:trPr>
        <w:tc>
          <w:tcPr>
            <w:tcW w:w="1285" w:type="pct"/>
          </w:tcPr>
          <w:p w14:paraId="1142E8C6"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90 to 119 calendar days</w:t>
            </w:r>
          </w:p>
        </w:tc>
        <w:tc>
          <w:tcPr>
            <w:tcW w:w="1858" w:type="pct"/>
          </w:tcPr>
          <w:p w14:paraId="4EE8A83B"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108</w:t>
            </w:r>
          </w:p>
        </w:tc>
        <w:tc>
          <w:tcPr>
            <w:tcW w:w="1857" w:type="pct"/>
          </w:tcPr>
          <w:p w14:paraId="4E8AB108"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0</w:t>
            </w:r>
          </w:p>
        </w:tc>
      </w:tr>
      <w:tr w:rsidR="00AB09A7" w:rsidRPr="008E75FC" w14:paraId="0B7C231B" w14:textId="77777777" w:rsidTr="0089643E">
        <w:trPr>
          <w:cantSplit/>
          <w:trHeight w:val="290"/>
          <w:tblHeader/>
          <w:jc w:val="center"/>
        </w:trPr>
        <w:tc>
          <w:tcPr>
            <w:tcW w:w="1285" w:type="pct"/>
          </w:tcPr>
          <w:p w14:paraId="228132DD"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120 to 149 calendar days</w:t>
            </w:r>
          </w:p>
        </w:tc>
        <w:tc>
          <w:tcPr>
            <w:tcW w:w="1858" w:type="pct"/>
          </w:tcPr>
          <w:p w14:paraId="518913AA"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166</w:t>
            </w:r>
          </w:p>
        </w:tc>
        <w:tc>
          <w:tcPr>
            <w:tcW w:w="1857" w:type="pct"/>
          </w:tcPr>
          <w:p w14:paraId="12C43043"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3</w:t>
            </w:r>
          </w:p>
        </w:tc>
      </w:tr>
      <w:tr w:rsidR="00AB09A7" w:rsidRPr="008E75FC" w14:paraId="7DEC7F8F" w14:textId="77777777" w:rsidTr="0089643E">
        <w:trPr>
          <w:cantSplit/>
          <w:trHeight w:val="290"/>
          <w:tblHeader/>
          <w:jc w:val="center"/>
        </w:trPr>
        <w:tc>
          <w:tcPr>
            <w:tcW w:w="1285" w:type="pct"/>
          </w:tcPr>
          <w:p w14:paraId="345B6F18"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150 to 179 calendar days</w:t>
            </w:r>
          </w:p>
        </w:tc>
        <w:tc>
          <w:tcPr>
            <w:tcW w:w="1858" w:type="pct"/>
          </w:tcPr>
          <w:p w14:paraId="32C1AC9C"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164</w:t>
            </w:r>
          </w:p>
        </w:tc>
        <w:tc>
          <w:tcPr>
            <w:tcW w:w="1857" w:type="pct"/>
          </w:tcPr>
          <w:p w14:paraId="4B079BB0"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6</w:t>
            </w:r>
          </w:p>
        </w:tc>
      </w:tr>
      <w:tr w:rsidR="00AB09A7" w:rsidRPr="008E75FC" w14:paraId="7CD9D989" w14:textId="77777777" w:rsidTr="0089643E">
        <w:trPr>
          <w:cantSplit/>
          <w:trHeight w:val="290"/>
          <w:tblHeader/>
          <w:jc w:val="center"/>
        </w:trPr>
        <w:tc>
          <w:tcPr>
            <w:tcW w:w="1285" w:type="pct"/>
          </w:tcPr>
          <w:p w14:paraId="74E67BDE"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180 to 209 calendar days</w:t>
            </w:r>
          </w:p>
        </w:tc>
        <w:tc>
          <w:tcPr>
            <w:tcW w:w="1858" w:type="pct"/>
          </w:tcPr>
          <w:p w14:paraId="492AFBA5"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160</w:t>
            </w:r>
          </w:p>
        </w:tc>
        <w:tc>
          <w:tcPr>
            <w:tcW w:w="1857" w:type="pct"/>
          </w:tcPr>
          <w:p w14:paraId="1104B67F"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4</w:t>
            </w:r>
          </w:p>
        </w:tc>
      </w:tr>
      <w:tr w:rsidR="00AB09A7" w:rsidRPr="008E75FC" w14:paraId="5682B565" w14:textId="77777777" w:rsidTr="0089643E">
        <w:trPr>
          <w:cantSplit/>
          <w:trHeight w:val="290"/>
          <w:tblHeader/>
          <w:jc w:val="center"/>
        </w:trPr>
        <w:tc>
          <w:tcPr>
            <w:tcW w:w="1285" w:type="pct"/>
          </w:tcPr>
          <w:p w14:paraId="4C7B4DD6"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210 to 239 calendar days</w:t>
            </w:r>
          </w:p>
        </w:tc>
        <w:tc>
          <w:tcPr>
            <w:tcW w:w="1858" w:type="pct"/>
          </w:tcPr>
          <w:p w14:paraId="3165E854"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133</w:t>
            </w:r>
          </w:p>
        </w:tc>
        <w:tc>
          <w:tcPr>
            <w:tcW w:w="1857" w:type="pct"/>
          </w:tcPr>
          <w:p w14:paraId="2D8EB356"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5</w:t>
            </w:r>
          </w:p>
        </w:tc>
      </w:tr>
      <w:tr w:rsidR="00AB09A7" w:rsidRPr="008E75FC" w14:paraId="4FF8D264" w14:textId="77777777" w:rsidTr="0089643E">
        <w:trPr>
          <w:cantSplit/>
          <w:trHeight w:val="290"/>
          <w:tblHeader/>
          <w:jc w:val="center"/>
        </w:trPr>
        <w:tc>
          <w:tcPr>
            <w:tcW w:w="1285" w:type="pct"/>
          </w:tcPr>
          <w:p w14:paraId="6F75C4A5"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240 to 269 calendar days</w:t>
            </w:r>
          </w:p>
        </w:tc>
        <w:tc>
          <w:tcPr>
            <w:tcW w:w="1858" w:type="pct"/>
          </w:tcPr>
          <w:p w14:paraId="1405EFCC"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122</w:t>
            </w:r>
          </w:p>
        </w:tc>
        <w:tc>
          <w:tcPr>
            <w:tcW w:w="1857" w:type="pct"/>
          </w:tcPr>
          <w:p w14:paraId="42CD1058"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7</w:t>
            </w:r>
          </w:p>
        </w:tc>
      </w:tr>
      <w:tr w:rsidR="00AB09A7" w:rsidRPr="008E75FC" w14:paraId="034D202B" w14:textId="77777777" w:rsidTr="0089643E">
        <w:trPr>
          <w:cantSplit/>
          <w:trHeight w:val="290"/>
          <w:tblHeader/>
          <w:jc w:val="center"/>
        </w:trPr>
        <w:tc>
          <w:tcPr>
            <w:tcW w:w="1285" w:type="pct"/>
          </w:tcPr>
          <w:p w14:paraId="17AC18AD"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270 to 299 calendar days</w:t>
            </w:r>
          </w:p>
        </w:tc>
        <w:tc>
          <w:tcPr>
            <w:tcW w:w="1858" w:type="pct"/>
          </w:tcPr>
          <w:p w14:paraId="403B703A"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101</w:t>
            </w:r>
          </w:p>
        </w:tc>
        <w:tc>
          <w:tcPr>
            <w:tcW w:w="1857" w:type="pct"/>
          </w:tcPr>
          <w:p w14:paraId="434D3092"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3</w:t>
            </w:r>
          </w:p>
        </w:tc>
      </w:tr>
      <w:tr w:rsidR="00AB09A7" w:rsidRPr="008E75FC" w14:paraId="12CF01EC" w14:textId="77777777" w:rsidTr="0089643E">
        <w:trPr>
          <w:cantSplit/>
          <w:trHeight w:val="290"/>
          <w:tblHeader/>
          <w:jc w:val="center"/>
        </w:trPr>
        <w:tc>
          <w:tcPr>
            <w:tcW w:w="1285" w:type="pct"/>
          </w:tcPr>
          <w:p w14:paraId="40D7BDE7"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300 to 329 calendar days</w:t>
            </w:r>
          </w:p>
        </w:tc>
        <w:tc>
          <w:tcPr>
            <w:tcW w:w="1858" w:type="pct"/>
          </w:tcPr>
          <w:p w14:paraId="2F9D2E2C"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80</w:t>
            </w:r>
          </w:p>
        </w:tc>
        <w:tc>
          <w:tcPr>
            <w:tcW w:w="1857" w:type="pct"/>
          </w:tcPr>
          <w:p w14:paraId="3C012401"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4</w:t>
            </w:r>
          </w:p>
        </w:tc>
      </w:tr>
      <w:tr w:rsidR="00AB09A7" w:rsidRPr="008E75FC" w14:paraId="7BB7731D" w14:textId="77777777" w:rsidTr="0089643E">
        <w:trPr>
          <w:cantSplit/>
          <w:trHeight w:val="290"/>
          <w:tblHeader/>
          <w:jc w:val="center"/>
        </w:trPr>
        <w:tc>
          <w:tcPr>
            <w:tcW w:w="1285" w:type="pct"/>
          </w:tcPr>
          <w:p w14:paraId="2A89801F"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330 to 359 calendar days</w:t>
            </w:r>
          </w:p>
        </w:tc>
        <w:tc>
          <w:tcPr>
            <w:tcW w:w="1858" w:type="pct"/>
          </w:tcPr>
          <w:p w14:paraId="7804E061"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61</w:t>
            </w:r>
          </w:p>
        </w:tc>
        <w:tc>
          <w:tcPr>
            <w:tcW w:w="1857" w:type="pct"/>
          </w:tcPr>
          <w:p w14:paraId="6E20CF23"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4</w:t>
            </w:r>
          </w:p>
        </w:tc>
      </w:tr>
      <w:tr w:rsidR="00AB09A7" w:rsidRPr="008E75FC" w14:paraId="066E0C8E" w14:textId="77777777" w:rsidTr="0089643E">
        <w:trPr>
          <w:cantSplit/>
          <w:trHeight w:val="290"/>
          <w:tblHeader/>
          <w:jc w:val="center"/>
        </w:trPr>
        <w:tc>
          <w:tcPr>
            <w:tcW w:w="1285" w:type="pct"/>
          </w:tcPr>
          <w:p w14:paraId="47C8140C"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360 to 389 calendar days</w:t>
            </w:r>
          </w:p>
        </w:tc>
        <w:tc>
          <w:tcPr>
            <w:tcW w:w="1858" w:type="pct"/>
          </w:tcPr>
          <w:p w14:paraId="61B5FB94"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50</w:t>
            </w:r>
          </w:p>
        </w:tc>
        <w:tc>
          <w:tcPr>
            <w:tcW w:w="1857" w:type="pct"/>
          </w:tcPr>
          <w:p w14:paraId="1D815A33"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5</w:t>
            </w:r>
          </w:p>
        </w:tc>
      </w:tr>
      <w:tr w:rsidR="00AB09A7" w:rsidRPr="008E75FC" w14:paraId="602D7B0F" w14:textId="77777777" w:rsidTr="0089643E">
        <w:trPr>
          <w:cantSplit/>
          <w:trHeight w:val="290"/>
          <w:tblHeader/>
          <w:jc w:val="center"/>
        </w:trPr>
        <w:tc>
          <w:tcPr>
            <w:tcW w:w="1285" w:type="pct"/>
          </w:tcPr>
          <w:p w14:paraId="46E455A3"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390 to 419 calendar days</w:t>
            </w:r>
          </w:p>
        </w:tc>
        <w:tc>
          <w:tcPr>
            <w:tcW w:w="1858" w:type="pct"/>
          </w:tcPr>
          <w:p w14:paraId="40B634F1"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45</w:t>
            </w:r>
          </w:p>
        </w:tc>
        <w:tc>
          <w:tcPr>
            <w:tcW w:w="1857" w:type="pct"/>
          </w:tcPr>
          <w:p w14:paraId="2919DC84"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1</w:t>
            </w:r>
          </w:p>
        </w:tc>
      </w:tr>
      <w:tr w:rsidR="00AB09A7" w:rsidRPr="008E75FC" w14:paraId="275F6C2E" w14:textId="77777777" w:rsidTr="0089643E">
        <w:trPr>
          <w:cantSplit/>
          <w:trHeight w:val="290"/>
          <w:tblHeader/>
          <w:jc w:val="center"/>
        </w:trPr>
        <w:tc>
          <w:tcPr>
            <w:tcW w:w="1285" w:type="pct"/>
          </w:tcPr>
          <w:p w14:paraId="4BD6D6C0"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420 to 449 calendar days</w:t>
            </w:r>
          </w:p>
        </w:tc>
        <w:tc>
          <w:tcPr>
            <w:tcW w:w="1858" w:type="pct"/>
          </w:tcPr>
          <w:p w14:paraId="0BF95799"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34</w:t>
            </w:r>
          </w:p>
        </w:tc>
        <w:tc>
          <w:tcPr>
            <w:tcW w:w="1857" w:type="pct"/>
          </w:tcPr>
          <w:p w14:paraId="77A245DF"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2</w:t>
            </w:r>
          </w:p>
        </w:tc>
      </w:tr>
      <w:tr w:rsidR="00AB09A7" w:rsidRPr="008E75FC" w14:paraId="737B1FD6" w14:textId="77777777" w:rsidTr="0089643E">
        <w:trPr>
          <w:cantSplit/>
          <w:trHeight w:val="290"/>
          <w:tblHeader/>
          <w:jc w:val="center"/>
        </w:trPr>
        <w:tc>
          <w:tcPr>
            <w:tcW w:w="1285" w:type="pct"/>
          </w:tcPr>
          <w:p w14:paraId="12C5F768"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450 to 479 calendar days</w:t>
            </w:r>
          </w:p>
        </w:tc>
        <w:tc>
          <w:tcPr>
            <w:tcW w:w="1858" w:type="pct"/>
          </w:tcPr>
          <w:p w14:paraId="4FB10A53"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34</w:t>
            </w:r>
          </w:p>
        </w:tc>
        <w:tc>
          <w:tcPr>
            <w:tcW w:w="1857" w:type="pct"/>
          </w:tcPr>
          <w:p w14:paraId="55E5FF2C"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1</w:t>
            </w:r>
          </w:p>
        </w:tc>
      </w:tr>
      <w:tr w:rsidR="00AB09A7" w:rsidRPr="008E75FC" w14:paraId="75B34917" w14:textId="77777777" w:rsidTr="0089643E">
        <w:trPr>
          <w:cantSplit/>
          <w:trHeight w:val="290"/>
          <w:tblHeader/>
          <w:jc w:val="center"/>
        </w:trPr>
        <w:tc>
          <w:tcPr>
            <w:tcW w:w="1285" w:type="pct"/>
          </w:tcPr>
          <w:p w14:paraId="55814150"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480 to 509 calendar days</w:t>
            </w:r>
          </w:p>
        </w:tc>
        <w:tc>
          <w:tcPr>
            <w:tcW w:w="1858" w:type="pct"/>
          </w:tcPr>
          <w:p w14:paraId="5AB37B8B"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21</w:t>
            </w:r>
          </w:p>
        </w:tc>
        <w:tc>
          <w:tcPr>
            <w:tcW w:w="1857" w:type="pct"/>
          </w:tcPr>
          <w:p w14:paraId="32976966"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1</w:t>
            </w:r>
          </w:p>
        </w:tc>
      </w:tr>
      <w:tr w:rsidR="00AB09A7" w:rsidRPr="008E75FC" w14:paraId="075C4D37" w14:textId="77777777" w:rsidTr="0089643E">
        <w:trPr>
          <w:cantSplit/>
          <w:trHeight w:val="290"/>
          <w:tblHeader/>
          <w:jc w:val="center"/>
        </w:trPr>
        <w:tc>
          <w:tcPr>
            <w:tcW w:w="1285" w:type="pct"/>
          </w:tcPr>
          <w:p w14:paraId="7A07EBCA"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510 to 539 calendar days</w:t>
            </w:r>
          </w:p>
        </w:tc>
        <w:tc>
          <w:tcPr>
            <w:tcW w:w="1858" w:type="pct"/>
          </w:tcPr>
          <w:p w14:paraId="1CEDAF14"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16</w:t>
            </w:r>
          </w:p>
        </w:tc>
        <w:tc>
          <w:tcPr>
            <w:tcW w:w="1857" w:type="pct"/>
          </w:tcPr>
          <w:p w14:paraId="65624E22"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2</w:t>
            </w:r>
          </w:p>
        </w:tc>
      </w:tr>
      <w:tr w:rsidR="00AB09A7" w:rsidRPr="008E75FC" w14:paraId="366F5380" w14:textId="77777777" w:rsidTr="0089643E">
        <w:trPr>
          <w:cantSplit/>
          <w:trHeight w:val="290"/>
          <w:tblHeader/>
          <w:jc w:val="center"/>
        </w:trPr>
        <w:tc>
          <w:tcPr>
            <w:tcW w:w="1285" w:type="pct"/>
          </w:tcPr>
          <w:p w14:paraId="7B0AE8CE"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540 to 569 calendar days</w:t>
            </w:r>
          </w:p>
        </w:tc>
        <w:tc>
          <w:tcPr>
            <w:tcW w:w="1858" w:type="pct"/>
          </w:tcPr>
          <w:p w14:paraId="6C921F05"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19</w:t>
            </w:r>
          </w:p>
        </w:tc>
        <w:tc>
          <w:tcPr>
            <w:tcW w:w="1857" w:type="pct"/>
          </w:tcPr>
          <w:p w14:paraId="3CBCEA25"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0</w:t>
            </w:r>
          </w:p>
        </w:tc>
      </w:tr>
      <w:tr w:rsidR="00AB09A7" w:rsidRPr="008E75FC" w14:paraId="5AF77F10" w14:textId="77777777" w:rsidTr="0089643E">
        <w:trPr>
          <w:cantSplit/>
          <w:trHeight w:val="290"/>
          <w:tblHeader/>
          <w:jc w:val="center"/>
        </w:trPr>
        <w:tc>
          <w:tcPr>
            <w:tcW w:w="1285" w:type="pct"/>
          </w:tcPr>
          <w:p w14:paraId="67E328F8"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570 to 599 calendar days</w:t>
            </w:r>
          </w:p>
        </w:tc>
        <w:tc>
          <w:tcPr>
            <w:tcW w:w="1858" w:type="pct"/>
          </w:tcPr>
          <w:p w14:paraId="10A79946"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13</w:t>
            </w:r>
          </w:p>
        </w:tc>
        <w:tc>
          <w:tcPr>
            <w:tcW w:w="1857" w:type="pct"/>
          </w:tcPr>
          <w:p w14:paraId="08AFCA7B"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1</w:t>
            </w:r>
          </w:p>
        </w:tc>
      </w:tr>
      <w:tr w:rsidR="00AB09A7" w:rsidRPr="008E75FC" w14:paraId="297A7E15" w14:textId="77777777" w:rsidTr="0089643E">
        <w:trPr>
          <w:cantSplit/>
          <w:trHeight w:val="290"/>
          <w:tblHeader/>
          <w:jc w:val="center"/>
        </w:trPr>
        <w:tc>
          <w:tcPr>
            <w:tcW w:w="1285" w:type="pct"/>
          </w:tcPr>
          <w:p w14:paraId="63D2735C"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600 to 629 calendar days</w:t>
            </w:r>
          </w:p>
        </w:tc>
        <w:tc>
          <w:tcPr>
            <w:tcW w:w="1858" w:type="pct"/>
          </w:tcPr>
          <w:p w14:paraId="1BA07581"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7</w:t>
            </w:r>
          </w:p>
        </w:tc>
        <w:tc>
          <w:tcPr>
            <w:tcW w:w="1857" w:type="pct"/>
          </w:tcPr>
          <w:p w14:paraId="75C88A9C"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0</w:t>
            </w:r>
          </w:p>
        </w:tc>
      </w:tr>
      <w:tr w:rsidR="00AB09A7" w:rsidRPr="008E75FC" w14:paraId="6F17C028" w14:textId="77777777" w:rsidTr="0089643E">
        <w:trPr>
          <w:cantSplit/>
          <w:trHeight w:val="290"/>
          <w:tblHeader/>
          <w:jc w:val="center"/>
        </w:trPr>
        <w:tc>
          <w:tcPr>
            <w:tcW w:w="1285" w:type="pct"/>
          </w:tcPr>
          <w:p w14:paraId="5B43A566"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630 to 659 calendar days</w:t>
            </w:r>
          </w:p>
        </w:tc>
        <w:tc>
          <w:tcPr>
            <w:tcW w:w="1858" w:type="pct"/>
          </w:tcPr>
          <w:p w14:paraId="4D2D159E"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7</w:t>
            </w:r>
          </w:p>
        </w:tc>
        <w:tc>
          <w:tcPr>
            <w:tcW w:w="1857" w:type="pct"/>
          </w:tcPr>
          <w:p w14:paraId="55A326E3"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0</w:t>
            </w:r>
          </w:p>
        </w:tc>
      </w:tr>
      <w:tr w:rsidR="00AB09A7" w:rsidRPr="008E75FC" w14:paraId="248396ED" w14:textId="77777777" w:rsidTr="0089643E">
        <w:trPr>
          <w:cantSplit/>
          <w:trHeight w:val="290"/>
          <w:tblHeader/>
          <w:jc w:val="center"/>
        </w:trPr>
        <w:tc>
          <w:tcPr>
            <w:tcW w:w="1285" w:type="pct"/>
          </w:tcPr>
          <w:p w14:paraId="7D33BBBC"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660 to 689 calendar days</w:t>
            </w:r>
          </w:p>
        </w:tc>
        <w:tc>
          <w:tcPr>
            <w:tcW w:w="1858" w:type="pct"/>
          </w:tcPr>
          <w:p w14:paraId="44B60937"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4</w:t>
            </w:r>
          </w:p>
        </w:tc>
        <w:tc>
          <w:tcPr>
            <w:tcW w:w="1857" w:type="pct"/>
          </w:tcPr>
          <w:p w14:paraId="168C6ECE"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0</w:t>
            </w:r>
          </w:p>
        </w:tc>
      </w:tr>
      <w:tr w:rsidR="00AB09A7" w:rsidRPr="008E75FC" w14:paraId="1A12D4F8" w14:textId="77777777" w:rsidTr="0089643E">
        <w:trPr>
          <w:cantSplit/>
          <w:trHeight w:val="290"/>
          <w:tblHeader/>
          <w:jc w:val="center"/>
        </w:trPr>
        <w:tc>
          <w:tcPr>
            <w:tcW w:w="1285" w:type="pct"/>
          </w:tcPr>
          <w:p w14:paraId="6741BD84"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690 to 719 calendar days</w:t>
            </w:r>
          </w:p>
        </w:tc>
        <w:tc>
          <w:tcPr>
            <w:tcW w:w="1858" w:type="pct"/>
          </w:tcPr>
          <w:p w14:paraId="60104C5D"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11</w:t>
            </w:r>
          </w:p>
        </w:tc>
        <w:tc>
          <w:tcPr>
            <w:tcW w:w="1857" w:type="pct"/>
          </w:tcPr>
          <w:p w14:paraId="6C4E7CB3"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1</w:t>
            </w:r>
          </w:p>
        </w:tc>
      </w:tr>
      <w:tr w:rsidR="00AB09A7" w:rsidRPr="008E75FC" w14:paraId="08F2A9CC" w14:textId="77777777" w:rsidTr="0089643E">
        <w:trPr>
          <w:cantSplit/>
          <w:trHeight w:val="302"/>
          <w:tblHeader/>
          <w:jc w:val="center"/>
        </w:trPr>
        <w:tc>
          <w:tcPr>
            <w:tcW w:w="1285" w:type="pct"/>
          </w:tcPr>
          <w:p w14:paraId="5F80DDF9"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720 to 749 calendar days</w:t>
            </w:r>
          </w:p>
        </w:tc>
        <w:tc>
          <w:tcPr>
            <w:tcW w:w="1858" w:type="pct"/>
          </w:tcPr>
          <w:p w14:paraId="6DD075EB"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6</w:t>
            </w:r>
          </w:p>
        </w:tc>
        <w:tc>
          <w:tcPr>
            <w:tcW w:w="1857" w:type="pct"/>
          </w:tcPr>
          <w:p w14:paraId="714897C1"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0</w:t>
            </w:r>
          </w:p>
        </w:tc>
      </w:tr>
      <w:tr w:rsidR="00AB09A7" w:rsidRPr="008E75FC" w14:paraId="171B77A6" w14:textId="77777777" w:rsidTr="0089643E">
        <w:trPr>
          <w:cantSplit/>
          <w:trHeight w:val="290"/>
          <w:tblHeader/>
          <w:jc w:val="center"/>
        </w:trPr>
        <w:tc>
          <w:tcPr>
            <w:tcW w:w="1285" w:type="pct"/>
          </w:tcPr>
          <w:p w14:paraId="6068B320"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750 to 779 calendar days</w:t>
            </w:r>
          </w:p>
        </w:tc>
        <w:tc>
          <w:tcPr>
            <w:tcW w:w="1858" w:type="pct"/>
          </w:tcPr>
          <w:p w14:paraId="2BACBF6C"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2</w:t>
            </w:r>
          </w:p>
        </w:tc>
        <w:tc>
          <w:tcPr>
            <w:tcW w:w="1857" w:type="pct"/>
          </w:tcPr>
          <w:p w14:paraId="1D38622F"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0</w:t>
            </w:r>
          </w:p>
        </w:tc>
      </w:tr>
      <w:tr w:rsidR="00AB09A7" w:rsidRPr="008E75FC" w14:paraId="4D2576F2" w14:textId="77777777" w:rsidTr="0089643E">
        <w:trPr>
          <w:cantSplit/>
          <w:trHeight w:val="290"/>
          <w:tblHeader/>
          <w:jc w:val="center"/>
        </w:trPr>
        <w:tc>
          <w:tcPr>
            <w:tcW w:w="1285" w:type="pct"/>
          </w:tcPr>
          <w:p w14:paraId="13C9D53A"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780 to 809 calendar days</w:t>
            </w:r>
          </w:p>
        </w:tc>
        <w:tc>
          <w:tcPr>
            <w:tcW w:w="1858" w:type="pct"/>
          </w:tcPr>
          <w:p w14:paraId="4105D535"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4</w:t>
            </w:r>
          </w:p>
        </w:tc>
        <w:tc>
          <w:tcPr>
            <w:tcW w:w="1857" w:type="pct"/>
          </w:tcPr>
          <w:p w14:paraId="17D12281"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1</w:t>
            </w:r>
          </w:p>
        </w:tc>
      </w:tr>
      <w:tr w:rsidR="00AB09A7" w:rsidRPr="008E75FC" w14:paraId="6391F332" w14:textId="77777777" w:rsidTr="0089643E">
        <w:trPr>
          <w:cantSplit/>
          <w:trHeight w:val="290"/>
          <w:tblHeader/>
          <w:jc w:val="center"/>
        </w:trPr>
        <w:tc>
          <w:tcPr>
            <w:tcW w:w="1285" w:type="pct"/>
          </w:tcPr>
          <w:p w14:paraId="3150F1B7"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810 to 839 calendar days</w:t>
            </w:r>
          </w:p>
        </w:tc>
        <w:tc>
          <w:tcPr>
            <w:tcW w:w="1858" w:type="pct"/>
          </w:tcPr>
          <w:p w14:paraId="0955BE1E"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4</w:t>
            </w:r>
          </w:p>
        </w:tc>
        <w:tc>
          <w:tcPr>
            <w:tcW w:w="1857" w:type="pct"/>
          </w:tcPr>
          <w:p w14:paraId="396B4710"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1</w:t>
            </w:r>
          </w:p>
        </w:tc>
      </w:tr>
      <w:tr w:rsidR="00AB09A7" w:rsidRPr="008E75FC" w14:paraId="6290DF8A" w14:textId="77777777" w:rsidTr="0089643E">
        <w:trPr>
          <w:cantSplit/>
          <w:trHeight w:val="290"/>
          <w:tblHeader/>
          <w:jc w:val="center"/>
        </w:trPr>
        <w:tc>
          <w:tcPr>
            <w:tcW w:w="1285" w:type="pct"/>
          </w:tcPr>
          <w:p w14:paraId="712BC2D1"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840 to 869 calendar days</w:t>
            </w:r>
          </w:p>
        </w:tc>
        <w:tc>
          <w:tcPr>
            <w:tcW w:w="1858" w:type="pct"/>
          </w:tcPr>
          <w:p w14:paraId="36DDBD38"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0</w:t>
            </w:r>
          </w:p>
        </w:tc>
        <w:tc>
          <w:tcPr>
            <w:tcW w:w="1857" w:type="pct"/>
          </w:tcPr>
          <w:p w14:paraId="73B0D965"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0</w:t>
            </w:r>
          </w:p>
        </w:tc>
      </w:tr>
      <w:tr w:rsidR="00AB09A7" w:rsidRPr="008E75FC" w14:paraId="6FF8C8E0" w14:textId="77777777" w:rsidTr="0089643E">
        <w:trPr>
          <w:cantSplit/>
          <w:trHeight w:val="290"/>
          <w:tblHeader/>
          <w:jc w:val="center"/>
        </w:trPr>
        <w:tc>
          <w:tcPr>
            <w:tcW w:w="1285" w:type="pct"/>
          </w:tcPr>
          <w:p w14:paraId="6ADCA80B"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870 to 899 calendar days</w:t>
            </w:r>
          </w:p>
        </w:tc>
        <w:tc>
          <w:tcPr>
            <w:tcW w:w="1858" w:type="pct"/>
          </w:tcPr>
          <w:p w14:paraId="2E2791F4"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1</w:t>
            </w:r>
          </w:p>
        </w:tc>
        <w:tc>
          <w:tcPr>
            <w:tcW w:w="1857" w:type="pct"/>
          </w:tcPr>
          <w:p w14:paraId="3F16FD1B"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0</w:t>
            </w:r>
          </w:p>
        </w:tc>
      </w:tr>
      <w:tr w:rsidR="00AB09A7" w:rsidRPr="008E75FC" w14:paraId="4D3F70B3" w14:textId="77777777" w:rsidTr="0089643E">
        <w:trPr>
          <w:cantSplit/>
          <w:trHeight w:val="290"/>
          <w:tblHeader/>
          <w:jc w:val="center"/>
        </w:trPr>
        <w:tc>
          <w:tcPr>
            <w:tcW w:w="1285" w:type="pct"/>
          </w:tcPr>
          <w:p w14:paraId="363F31F0"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900 to 929 calendar days</w:t>
            </w:r>
          </w:p>
        </w:tc>
        <w:tc>
          <w:tcPr>
            <w:tcW w:w="1858" w:type="pct"/>
          </w:tcPr>
          <w:p w14:paraId="316B81B4"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0</w:t>
            </w:r>
          </w:p>
        </w:tc>
        <w:tc>
          <w:tcPr>
            <w:tcW w:w="1857" w:type="pct"/>
          </w:tcPr>
          <w:p w14:paraId="045BB51B"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0</w:t>
            </w:r>
          </w:p>
        </w:tc>
      </w:tr>
      <w:tr w:rsidR="00AB09A7" w:rsidRPr="008E75FC" w14:paraId="60BA6C8B" w14:textId="77777777" w:rsidTr="0089643E">
        <w:trPr>
          <w:cantSplit/>
          <w:trHeight w:val="290"/>
          <w:tblHeader/>
          <w:jc w:val="center"/>
        </w:trPr>
        <w:tc>
          <w:tcPr>
            <w:tcW w:w="1285" w:type="pct"/>
          </w:tcPr>
          <w:p w14:paraId="15D35D18"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930 to 959 calendar days</w:t>
            </w:r>
          </w:p>
        </w:tc>
        <w:tc>
          <w:tcPr>
            <w:tcW w:w="1858" w:type="pct"/>
          </w:tcPr>
          <w:p w14:paraId="68A721EE"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0</w:t>
            </w:r>
          </w:p>
        </w:tc>
        <w:tc>
          <w:tcPr>
            <w:tcW w:w="1857" w:type="pct"/>
          </w:tcPr>
          <w:p w14:paraId="6ECD9AD9"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0</w:t>
            </w:r>
          </w:p>
        </w:tc>
      </w:tr>
      <w:tr w:rsidR="00AB09A7" w:rsidRPr="008E75FC" w14:paraId="3F706455" w14:textId="77777777" w:rsidTr="0089643E">
        <w:trPr>
          <w:cantSplit/>
          <w:trHeight w:val="290"/>
          <w:tblHeader/>
          <w:jc w:val="center"/>
        </w:trPr>
        <w:tc>
          <w:tcPr>
            <w:tcW w:w="1285" w:type="pct"/>
          </w:tcPr>
          <w:p w14:paraId="6AE2F81F"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960 to 989 calendar days</w:t>
            </w:r>
          </w:p>
        </w:tc>
        <w:tc>
          <w:tcPr>
            <w:tcW w:w="1858" w:type="pct"/>
          </w:tcPr>
          <w:p w14:paraId="20559F1F"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0</w:t>
            </w:r>
          </w:p>
        </w:tc>
        <w:tc>
          <w:tcPr>
            <w:tcW w:w="1857" w:type="pct"/>
          </w:tcPr>
          <w:p w14:paraId="0FC6246F"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0</w:t>
            </w:r>
          </w:p>
        </w:tc>
      </w:tr>
      <w:tr w:rsidR="00AB09A7" w:rsidRPr="008E75FC" w14:paraId="19EEC021" w14:textId="77777777" w:rsidTr="0089643E">
        <w:trPr>
          <w:cantSplit/>
          <w:trHeight w:val="290"/>
          <w:tblHeader/>
          <w:jc w:val="center"/>
        </w:trPr>
        <w:tc>
          <w:tcPr>
            <w:tcW w:w="1285" w:type="pct"/>
          </w:tcPr>
          <w:p w14:paraId="55C5D896" w14:textId="77777777" w:rsidR="00AB09A7" w:rsidRPr="008E75FC" w:rsidRDefault="00AB09A7" w:rsidP="00775CE4">
            <w:pPr>
              <w:autoSpaceDE w:val="0"/>
              <w:autoSpaceDN w:val="0"/>
              <w:adjustRightInd w:val="0"/>
              <w:rPr>
                <w:rFonts w:asciiTheme="minorHAnsi" w:hAnsiTheme="minorHAnsi" w:cstheme="minorHAnsi"/>
                <w:sz w:val="22"/>
                <w:szCs w:val="22"/>
                <w:lang w:val="en-CA"/>
              </w:rPr>
            </w:pPr>
            <w:r w:rsidRPr="008E75FC">
              <w:rPr>
                <w:rFonts w:asciiTheme="minorHAnsi" w:hAnsiTheme="minorHAnsi" w:cstheme="minorHAnsi"/>
                <w:sz w:val="22"/>
                <w:szCs w:val="22"/>
                <w:lang w:val="en-CA"/>
              </w:rPr>
              <w:t>More than 990 calendar days</w:t>
            </w:r>
          </w:p>
        </w:tc>
        <w:tc>
          <w:tcPr>
            <w:tcW w:w="1858" w:type="pct"/>
          </w:tcPr>
          <w:p w14:paraId="2212C5D1"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0</w:t>
            </w:r>
          </w:p>
        </w:tc>
        <w:tc>
          <w:tcPr>
            <w:tcW w:w="1857" w:type="pct"/>
          </w:tcPr>
          <w:p w14:paraId="453B95CD" w14:textId="77777777" w:rsidR="00AB09A7" w:rsidRPr="008E75FC" w:rsidRDefault="00AB09A7" w:rsidP="00775CE4">
            <w:pPr>
              <w:autoSpaceDE w:val="0"/>
              <w:autoSpaceDN w:val="0"/>
              <w:adjustRightInd w:val="0"/>
              <w:jc w:val="center"/>
              <w:rPr>
                <w:rFonts w:asciiTheme="minorHAnsi" w:hAnsiTheme="minorHAnsi" w:cstheme="minorHAnsi"/>
                <w:sz w:val="22"/>
                <w:szCs w:val="22"/>
                <w:lang w:val="en-CA"/>
              </w:rPr>
            </w:pPr>
            <w:r w:rsidRPr="008E75FC">
              <w:rPr>
                <w:rFonts w:asciiTheme="minorHAnsi" w:hAnsiTheme="minorHAnsi" w:cstheme="minorHAnsi"/>
                <w:sz w:val="22"/>
                <w:szCs w:val="22"/>
                <w:lang w:val="en-CA"/>
              </w:rPr>
              <w:t>0</w:t>
            </w:r>
          </w:p>
        </w:tc>
      </w:tr>
    </w:tbl>
    <w:p w14:paraId="3446DABA" w14:textId="77777777" w:rsidR="00AB09A7" w:rsidRPr="008E75FC" w:rsidRDefault="00AB09A7" w:rsidP="00F06554">
      <w:pPr>
        <w:rPr>
          <w:rFonts w:asciiTheme="minorHAnsi" w:hAnsiTheme="minorHAnsi" w:cstheme="minorHAnsi"/>
          <w:b/>
          <w:bCs/>
          <w:szCs w:val="24"/>
          <w:lang w:val="en-CA"/>
        </w:rPr>
      </w:pPr>
    </w:p>
    <w:p w14:paraId="05A5D6AF" w14:textId="77777777" w:rsidR="00244BB9" w:rsidRPr="008E75FC" w:rsidRDefault="00244BB9" w:rsidP="00F06554">
      <w:pPr>
        <w:rPr>
          <w:rFonts w:asciiTheme="minorHAnsi" w:hAnsiTheme="minorHAnsi" w:cstheme="minorHAnsi"/>
          <w:b/>
          <w:bCs/>
          <w:szCs w:val="24"/>
          <w:lang w:val="en-CA"/>
        </w:rPr>
        <w:sectPr w:rsidR="00244BB9" w:rsidRPr="008E75FC" w:rsidSect="00244BB9">
          <w:headerReference w:type="default" r:id="rId32"/>
          <w:footerReference w:type="even" r:id="rId33"/>
          <w:footerReference w:type="default" r:id="rId34"/>
          <w:pgSz w:w="24480" w:h="15840" w:orient="landscape" w:code="3"/>
          <w:pgMar w:top="720" w:right="720" w:bottom="720" w:left="720" w:header="708" w:footer="708" w:gutter="0"/>
          <w:cols w:space="708"/>
          <w:docGrid w:linePitch="360"/>
        </w:sectPr>
      </w:pPr>
    </w:p>
    <w:p w14:paraId="48DE5DCB" w14:textId="2BC07CBE" w:rsidR="00F06554" w:rsidRPr="008E75FC" w:rsidRDefault="00244BB9" w:rsidP="00244BB9">
      <w:pPr>
        <w:pStyle w:val="Heading1"/>
        <w:spacing w:after="120"/>
        <w:rPr>
          <w:sz w:val="40"/>
          <w:lang w:val="en-CA"/>
        </w:rPr>
      </w:pPr>
      <w:r w:rsidRPr="008E75FC">
        <w:rPr>
          <w:sz w:val="40"/>
          <w:lang w:val="en-CA"/>
        </w:rPr>
        <w:lastRenderedPageBreak/>
        <w:t>T</w:t>
      </w:r>
      <w:r w:rsidR="00B0769C">
        <w:rPr>
          <w:sz w:val="40"/>
          <w:lang w:val="en-CA"/>
        </w:rPr>
        <w:t>echnical N</w:t>
      </w:r>
      <w:r w:rsidR="00F06554" w:rsidRPr="008E75FC">
        <w:rPr>
          <w:sz w:val="40"/>
          <w:lang w:val="en-CA"/>
        </w:rPr>
        <w:t>otes:</w:t>
      </w:r>
    </w:p>
    <w:p w14:paraId="2BD7B0F7" w14:textId="77777777" w:rsidR="00F06554" w:rsidRPr="008E75FC" w:rsidRDefault="00F06554" w:rsidP="00870785">
      <w:pPr>
        <w:pStyle w:val="ListParagraph"/>
        <w:numPr>
          <w:ilvl w:val="0"/>
          <w:numId w:val="20"/>
        </w:numPr>
        <w:spacing w:after="0"/>
        <w:rPr>
          <w:rFonts w:asciiTheme="minorHAnsi" w:hAnsiTheme="minorHAnsi" w:cstheme="minorHAnsi"/>
          <w:sz w:val="22"/>
          <w:lang w:val="en-CA"/>
        </w:rPr>
      </w:pPr>
      <w:r w:rsidRPr="008E75FC">
        <w:rPr>
          <w:rFonts w:asciiTheme="minorHAnsi" w:hAnsiTheme="minorHAnsi" w:cstheme="minorHAnsi"/>
          <w:sz w:val="22"/>
          <w:lang w:val="en-CA"/>
        </w:rPr>
        <w:t>The Time to Staff - Internal Appointments (TTS-IA) is the median number of calendar days between the opening date of an internal advertisement and the date of the first Notice of Appointment or Proposal of Appointment (NAPA) from the Public Service Resourcing System for internal term and indeterminate positions. As NAPAs are not required for all internal staffing actions, this measure is limited to reporting on internal promotional appointments.</w:t>
      </w:r>
    </w:p>
    <w:p w14:paraId="5A9F5F7F" w14:textId="77777777" w:rsidR="00F06554" w:rsidRPr="008E75FC" w:rsidRDefault="00F06554" w:rsidP="00870785">
      <w:pPr>
        <w:pStyle w:val="ListParagraph"/>
        <w:numPr>
          <w:ilvl w:val="0"/>
          <w:numId w:val="20"/>
        </w:numPr>
        <w:spacing w:after="0"/>
        <w:rPr>
          <w:rFonts w:asciiTheme="minorHAnsi" w:hAnsiTheme="minorHAnsi" w:cstheme="minorHAnsi"/>
          <w:sz w:val="22"/>
          <w:lang w:val="en-CA"/>
        </w:rPr>
      </w:pPr>
      <w:r w:rsidRPr="008E75FC">
        <w:rPr>
          <w:rFonts w:asciiTheme="minorHAnsi" w:hAnsiTheme="minorHAnsi" w:cstheme="minorHAnsi"/>
          <w:sz w:val="22"/>
          <w:lang w:val="en-CA"/>
        </w:rPr>
        <w:t xml:space="preserve">The Time to Staff - External Appointments (TTS-EA) is the median number of calendar days between the opening date of an external advertisement and the date of the first estimated appointment of an individual from outside an organization subject to the </w:t>
      </w:r>
      <w:r w:rsidRPr="008E75FC">
        <w:rPr>
          <w:rStyle w:val="Emphasis"/>
          <w:rFonts w:asciiTheme="minorHAnsi" w:hAnsiTheme="minorHAnsi" w:cstheme="minorHAnsi"/>
          <w:sz w:val="22"/>
          <w:lang w:val="en-CA"/>
        </w:rPr>
        <w:t>Public Service Employment Act</w:t>
      </w:r>
      <w:r w:rsidRPr="008E75FC">
        <w:rPr>
          <w:rFonts w:asciiTheme="minorHAnsi" w:hAnsiTheme="minorHAnsi" w:cstheme="minorHAnsi"/>
          <w:sz w:val="20"/>
          <w:lang w:val="en-CA"/>
        </w:rPr>
        <w:t xml:space="preserve"> </w:t>
      </w:r>
      <w:r w:rsidRPr="008E75FC">
        <w:rPr>
          <w:rFonts w:asciiTheme="minorHAnsi" w:hAnsiTheme="minorHAnsi" w:cstheme="minorHAnsi"/>
          <w:sz w:val="22"/>
          <w:lang w:val="en-CA"/>
        </w:rPr>
        <w:t>for term and indeterminate positions. Because data between systems is linked using a probabilistic match, errors in data linkage are a potential source of measurement error.</w:t>
      </w:r>
    </w:p>
    <w:p w14:paraId="64E1606D" w14:textId="77777777" w:rsidR="00F06554" w:rsidRPr="008E75FC" w:rsidRDefault="00F06554" w:rsidP="00244BB9">
      <w:pPr>
        <w:pStyle w:val="ListParagraph"/>
        <w:numPr>
          <w:ilvl w:val="0"/>
          <w:numId w:val="20"/>
        </w:numPr>
        <w:spacing w:after="120"/>
        <w:rPr>
          <w:rFonts w:asciiTheme="minorHAnsi" w:hAnsiTheme="minorHAnsi" w:cstheme="minorHAnsi"/>
          <w:sz w:val="22"/>
          <w:lang w:val="en-CA"/>
        </w:rPr>
      </w:pPr>
      <w:r w:rsidRPr="008E75FC">
        <w:rPr>
          <w:rFonts w:asciiTheme="minorHAnsi" w:hAnsiTheme="minorHAnsi" w:cstheme="minorHAnsi"/>
          <w:sz w:val="22"/>
          <w:lang w:val="en-CA"/>
        </w:rPr>
        <w:t xml:space="preserve">Only estimated term and indeterminate appointments/notifications are included (deployments, casual and acting appointments are excluded). </w:t>
      </w:r>
    </w:p>
    <w:p w14:paraId="066B807D" w14:textId="77777777" w:rsidR="00F06554" w:rsidRPr="008E75FC" w:rsidRDefault="00F06554" w:rsidP="00244BB9">
      <w:pPr>
        <w:pStyle w:val="Heading1"/>
        <w:spacing w:after="120"/>
        <w:rPr>
          <w:sz w:val="40"/>
          <w:lang w:val="en-CA"/>
        </w:rPr>
      </w:pPr>
      <w:r w:rsidRPr="008E75FC">
        <w:rPr>
          <w:sz w:val="40"/>
          <w:lang w:val="en-CA"/>
        </w:rPr>
        <w:t>Sources:</w:t>
      </w:r>
    </w:p>
    <w:p w14:paraId="062EBF27" w14:textId="77777777" w:rsidR="00F06554" w:rsidRPr="00870785" w:rsidRDefault="00F06554" w:rsidP="00870785">
      <w:pPr>
        <w:pStyle w:val="ListParagraph"/>
        <w:numPr>
          <w:ilvl w:val="0"/>
          <w:numId w:val="31"/>
        </w:numPr>
        <w:spacing w:after="0"/>
        <w:rPr>
          <w:rFonts w:asciiTheme="minorHAnsi" w:hAnsiTheme="minorHAnsi" w:cstheme="minorHAnsi"/>
          <w:sz w:val="22"/>
          <w:szCs w:val="22"/>
          <w:lang w:val="en-CA"/>
        </w:rPr>
      </w:pPr>
      <w:r w:rsidRPr="00870785">
        <w:rPr>
          <w:rFonts w:asciiTheme="minorHAnsi" w:hAnsiTheme="minorHAnsi" w:cstheme="minorHAnsi"/>
          <w:sz w:val="22"/>
          <w:szCs w:val="22"/>
          <w:lang w:val="en-CA"/>
        </w:rPr>
        <w:t>Hiring and staffing activities data are derived from information received from the Treasury Board of Canada Secretariat Incumbent File.  The Incumbent File is extracted from the Public Services and Procurement Canada’s pay system.  The data constitutes an estimate of hiring and staffing activities to and within organizations.</w:t>
      </w:r>
    </w:p>
    <w:p w14:paraId="0EF6303B" w14:textId="77777777" w:rsidR="00F06554" w:rsidRPr="00870785" w:rsidRDefault="00F06554" w:rsidP="00870785">
      <w:pPr>
        <w:pStyle w:val="ListParagraph"/>
        <w:numPr>
          <w:ilvl w:val="0"/>
          <w:numId w:val="31"/>
        </w:numPr>
        <w:spacing w:after="0"/>
        <w:rPr>
          <w:rFonts w:asciiTheme="minorHAnsi" w:hAnsiTheme="minorHAnsi" w:cstheme="minorHAnsi"/>
          <w:sz w:val="22"/>
          <w:szCs w:val="22"/>
          <w:lang w:val="en-CA"/>
        </w:rPr>
      </w:pPr>
      <w:r w:rsidRPr="00870785">
        <w:rPr>
          <w:rFonts w:asciiTheme="minorHAnsi" w:hAnsiTheme="minorHAnsi" w:cstheme="minorHAnsi"/>
          <w:sz w:val="22"/>
          <w:szCs w:val="22"/>
          <w:lang w:val="en-CA"/>
        </w:rPr>
        <w:t>Information from the Priority Information Management System and the Public Services Resourcing System is also used to determine if staffing actions are advertised or non-advertised as well as for calculating time to staff.</w:t>
      </w:r>
    </w:p>
    <w:p w14:paraId="75F565E8" w14:textId="77777777" w:rsidR="00F06554" w:rsidRPr="00870785" w:rsidRDefault="00F06554" w:rsidP="00870785">
      <w:pPr>
        <w:pStyle w:val="ListParagraph"/>
        <w:numPr>
          <w:ilvl w:val="0"/>
          <w:numId w:val="31"/>
        </w:numPr>
        <w:spacing w:after="0"/>
        <w:rPr>
          <w:rFonts w:asciiTheme="minorHAnsi" w:hAnsiTheme="minorHAnsi" w:cstheme="minorHAnsi"/>
          <w:sz w:val="22"/>
          <w:szCs w:val="22"/>
          <w:lang w:val="en-CA"/>
        </w:rPr>
      </w:pPr>
      <w:r w:rsidRPr="00870785">
        <w:rPr>
          <w:rFonts w:asciiTheme="minorHAnsi" w:hAnsiTheme="minorHAnsi" w:cstheme="minorHAnsi"/>
          <w:sz w:val="22"/>
          <w:szCs w:val="22"/>
          <w:lang w:val="en-CA"/>
        </w:rPr>
        <w:t>The data are not expected to match an organization’s human resources data, due to methodology and timing differences.</w:t>
      </w:r>
    </w:p>
    <w:p w14:paraId="11D7AB45" w14:textId="77777777" w:rsidR="00F06554" w:rsidRPr="00870785" w:rsidRDefault="00F06554" w:rsidP="00870785">
      <w:pPr>
        <w:pStyle w:val="ListParagraph"/>
        <w:numPr>
          <w:ilvl w:val="0"/>
          <w:numId w:val="31"/>
        </w:numPr>
        <w:spacing w:after="0"/>
        <w:rPr>
          <w:rFonts w:asciiTheme="minorHAnsi" w:hAnsiTheme="minorHAnsi" w:cstheme="minorHAnsi"/>
          <w:sz w:val="22"/>
          <w:szCs w:val="22"/>
          <w:lang w:val="en-CA"/>
        </w:rPr>
      </w:pPr>
      <w:r w:rsidRPr="00870785">
        <w:rPr>
          <w:rFonts w:asciiTheme="minorHAnsi" w:hAnsiTheme="minorHAnsi" w:cstheme="minorHAnsi"/>
          <w:sz w:val="22"/>
          <w:szCs w:val="22"/>
          <w:lang w:val="en-CA"/>
        </w:rPr>
        <w:t>The Time to Staff - Internal Appointments (TTS-IA) is the median number of calendar days between the opening date of an internal advertisement and the date of the first Notice of Appointment or Proposal of Appointment (NAPA) from the Public Service Resourcing System for internal term and indeterminate positions. As NAPAs are not required for all internal staffing actions, this measure is limited to reporting on internal promotional appointments</w:t>
      </w:r>
    </w:p>
    <w:p w14:paraId="19D22580" w14:textId="77777777" w:rsidR="00F06554" w:rsidRPr="00870785" w:rsidRDefault="00F06554" w:rsidP="00870785">
      <w:pPr>
        <w:pStyle w:val="ListParagraph"/>
        <w:numPr>
          <w:ilvl w:val="0"/>
          <w:numId w:val="31"/>
        </w:numPr>
        <w:spacing w:after="0"/>
        <w:rPr>
          <w:rFonts w:asciiTheme="minorHAnsi" w:hAnsiTheme="minorHAnsi" w:cstheme="minorHAnsi"/>
          <w:sz w:val="22"/>
          <w:szCs w:val="22"/>
          <w:lang w:val="en-CA"/>
        </w:rPr>
      </w:pPr>
      <w:r w:rsidRPr="00870785">
        <w:rPr>
          <w:rFonts w:asciiTheme="minorHAnsi" w:hAnsiTheme="minorHAnsi" w:cstheme="minorHAnsi"/>
          <w:sz w:val="22"/>
          <w:szCs w:val="22"/>
          <w:lang w:val="en-CA"/>
        </w:rPr>
        <w:t>Only estimated term and indeterminate appointments/notifications are included (deployments, casual and acting appointments are excluded)</w:t>
      </w:r>
    </w:p>
    <w:p w14:paraId="2DF55227" w14:textId="37398965" w:rsidR="00F06554" w:rsidRPr="00870785" w:rsidRDefault="00C2396B" w:rsidP="00870785">
      <w:pPr>
        <w:pStyle w:val="ListParagraph"/>
        <w:numPr>
          <w:ilvl w:val="0"/>
          <w:numId w:val="31"/>
        </w:numPr>
        <w:spacing w:after="0"/>
        <w:rPr>
          <w:rFonts w:asciiTheme="minorHAnsi" w:hAnsiTheme="minorHAnsi" w:cstheme="minorHAnsi"/>
          <w:sz w:val="22"/>
          <w:szCs w:val="22"/>
          <w:lang w:val="en-CA"/>
        </w:rPr>
      </w:pPr>
      <w:r w:rsidRPr="00870785">
        <w:rPr>
          <w:rFonts w:asciiTheme="minorHAnsi" w:hAnsiTheme="minorHAnsi" w:cstheme="minorHAnsi"/>
          <w:sz w:val="22"/>
          <w:szCs w:val="22"/>
          <w:lang w:val="en-CA"/>
        </w:rPr>
        <w:t>T</w:t>
      </w:r>
      <w:r w:rsidR="00F06554" w:rsidRPr="00870785">
        <w:rPr>
          <w:rFonts w:asciiTheme="minorHAnsi" w:hAnsiTheme="minorHAnsi" w:cstheme="minorHAnsi"/>
          <w:sz w:val="22"/>
          <w:szCs w:val="22"/>
          <w:lang w:val="en-CA"/>
        </w:rPr>
        <w:t xml:space="preserve">he Time to Staff - External Appointments (TTS-EA) is the median number of calendar days between the opening date of an external advertisement and the date of the first estimated appointment of an individual from outside an organization subject to the </w:t>
      </w:r>
      <w:r w:rsidR="00F06554" w:rsidRPr="00870785">
        <w:rPr>
          <w:rStyle w:val="Emphasis"/>
          <w:rFonts w:asciiTheme="minorHAnsi" w:hAnsiTheme="minorHAnsi" w:cstheme="minorHAnsi"/>
          <w:sz w:val="22"/>
          <w:szCs w:val="22"/>
          <w:lang w:val="en-CA"/>
        </w:rPr>
        <w:t xml:space="preserve">Public Service Employment Act </w:t>
      </w:r>
      <w:r w:rsidR="00F06554" w:rsidRPr="00870785">
        <w:rPr>
          <w:rFonts w:asciiTheme="minorHAnsi" w:hAnsiTheme="minorHAnsi" w:cstheme="minorHAnsi"/>
          <w:sz w:val="22"/>
          <w:szCs w:val="22"/>
          <w:lang w:val="en-CA"/>
        </w:rPr>
        <w:t>for term and indeterminate positions. Only estimated term and indeterminate appointments/notifications are included (deployments, casual and acting appointments are excluded)</w:t>
      </w:r>
    </w:p>
    <w:p w14:paraId="375D73EA" w14:textId="77777777" w:rsidR="00F06554" w:rsidRPr="00870785" w:rsidRDefault="00F06554" w:rsidP="00870785">
      <w:pPr>
        <w:pStyle w:val="ListParagraph"/>
        <w:numPr>
          <w:ilvl w:val="0"/>
          <w:numId w:val="31"/>
        </w:numPr>
        <w:spacing w:after="0"/>
        <w:rPr>
          <w:rFonts w:asciiTheme="minorHAnsi" w:hAnsiTheme="minorHAnsi" w:cstheme="minorHAnsi"/>
          <w:sz w:val="22"/>
          <w:szCs w:val="22"/>
          <w:lang w:val="en-CA"/>
        </w:rPr>
      </w:pPr>
      <w:r w:rsidRPr="00870785">
        <w:rPr>
          <w:rFonts w:asciiTheme="minorHAnsi" w:hAnsiTheme="minorHAnsi" w:cstheme="minorHAnsi"/>
          <w:sz w:val="22"/>
          <w:szCs w:val="22"/>
          <w:lang w:val="en-CA"/>
        </w:rPr>
        <w:t>Because data between systems is linked using a probabilistic match, errors in data linkage are a potential source of measurement error</w:t>
      </w:r>
    </w:p>
    <w:p w14:paraId="5C91B840" w14:textId="77777777" w:rsidR="00F06554" w:rsidRPr="00870785" w:rsidRDefault="00F06554" w:rsidP="00870785">
      <w:pPr>
        <w:pStyle w:val="ListParagraph"/>
        <w:numPr>
          <w:ilvl w:val="0"/>
          <w:numId w:val="31"/>
        </w:numPr>
        <w:spacing w:after="0"/>
        <w:rPr>
          <w:rFonts w:asciiTheme="minorHAnsi" w:hAnsiTheme="minorHAnsi" w:cstheme="minorHAnsi"/>
          <w:sz w:val="22"/>
          <w:szCs w:val="22"/>
          <w:lang w:val="en-CA"/>
        </w:rPr>
      </w:pPr>
      <w:r w:rsidRPr="00870785">
        <w:rPr>
          <w:rFonts w:asciiTheme="minorHAnsi" w:hAnsiTheme="minorHAnsi" w:cstheme="minorHAnsi"/>
          <w:sz w:val="22"/>
          <w:szCs w:val="22"/>
          <w:lang w:val="en-CA"/>
        </w:rPr>
        <w:t>Hiring and staffing activities data are derived from information received from the Treasury Board of Canada Secretariat Incumbent File.  The Incumbent File is extracted from the Public Services and Procurement Canada’s pay system.  The data constitutes an estimate of hiring and staffing activities to and within organizations.</w:t>
      </w:r>
    </w:p>
    <w:p w14:paraId="5D5661BD" w14:textId="77777777" w:rsidR="00F06554" w:rsidRPr="00870785" w:rsidRDefault="00F06554" w:rsidP="00870785">
      <w:pPr>
        <w:pStyle w:val="ListParagraph"/>
        <w:numPr>
          <w:ilvl w:val="0"/>
          <w:numId w:val="31"/>
        </w:numPr>
        <w:spacing w:after="0"/>
        <w:rPr>
          <w:rFonts w:asciiTheme="minorHAnsi" w:hAnsiTheme="minorHAnsi" w:cstheme="minorHAnsi"/>
          <w:sz w:val="22"/>
          <w:szCs w:val="22"/>
          <w:lang w:val="en-CA"/>
        </w:rPr>
      </w:pPr>
      <w:r w:rsidRPr="00870785">
        <w:rPr>
          <w:rFonts w:asciiTheme="minorHAnsi" w:hAnsiTheme="minorHAnsi" w:cstheme="minorHAnsi"/>
          <w:sz w:val="22"/>
          <w:szCs w:val="22"/>
          <w:lang w:val="en-CA"/>
        </w:rPr>
        <w:lastRenderedPageBreak/>
        <w:t>Information from the Priority Information Management System and the Public Services Resourcing System is also used to determine if staffing actions are advertised or non-advertised as well as for calculating time to staff.</w:t>
      </w:r>
    </w:p>
    <w:p w14:paraId="55F07E7A" w14:textId="29CDD251" w:rsidR="00F06554" w:rsidRPr="00870785" w:rsidRDefault="00C2396B" w:rsidP="00870785">
      <w:pPr>
        <w:pStyle w:val="ListParagraph"/>
        <w:numPr>
          <w:ilvl w:val="0"/>
          <w:numId w:val="31"/>
        </w:numPr>
        <w:spacing w:after="0"/>
        <w:rPr>
          <w:rFonts w:asciiTheme="minorHAnsi" w:hAnsiTheme="minorHAnsi" w:cstheme="minorHAnsi"/>
          <w:sz w:val="22"/>
          <w:szCs w:val="22"/>
          <w:lang w:val="en-CA"/>
        </w:rPr>
      </w:pPr>
      <w:r w:rsidRPr="00870785">
        <w:rPr>
          <w:rFonts w:asciiTheme="minorHAnsi" w:hAnsiTheme="minorHAnsi" w:cstheme="minorHAnsi"/>
          <w:sz w:val="22"/>
          <w:szCs w:val="22"/>
          <w:lang w:val="en-CA"/>
        </w:rPr>
        <w:t>T</w:t>
      </w:r>
      <w:r w:rsidR="00F06554" w:rsidRPr="00870785">
        <w:rPr>
          <w:rFonts w:asciiTheme="minorHAnsi" w:hAnsiTheme="minorHAnsi" w:cstheme="minorHAnsi"/>
          <w:sz w:val="22"/>
          <w:szCs w:val="22"/>
          <w:lang w:val="en-CA"/>
        </w:rPr>
        <w:t>he data are not expected to match an organization’s human resources data, due to methodology and timing differences.</w:t>
      </w:r>
    </w:p>
    <w:sectPr w:rsidR="00F06554" w:rsidRPr="00870785" w:rsidSect="0077448D">
      <w:pgSz w:w="12240" w:h="15840"/>
      <w:pgMar w:top="720" w:right="720" w:bottom="720"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07F77" w14:textId="77777777" w:rsidR="0025296D" w:rsidRDefault="0025296D" w:rsidP="0051557E">
      <w:r>
        <w:separator/>
      </w:r>
    </w:p>
  </w:endnote>
  <w:endnote w:type="continuationSeparator" w:id="0">
    <w:p w14:paraId="5A6919E8" w14:textId="77777777" w:rsidR="0025296D" w:rsidRDefault="0025296D" w:rsidP="0051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794819"/>
      <w:docPartObj>
        <w:docPartGallery w:val="Page Numbers (Bottom of Page)"/>
        <w:docPartUnique/>
      </w:docPartObj>
    </w:sdtPr>
    <w:sdtEndPr/>
    <w:sdtContent>
      <w:p w14:paraId="6D85AAA1" w14:textId="7BD89DA1" w:rsidR="00DB1B66" w:rsidRDefault="00DB1B66">
        <w:pPr>
          <w:pStyle w:val="Footer"/>
        </w:pPr>
        <w:r>
          <w:fldChar w:fldCharType="begin"/>
        </w:r>
        <w:r>
          <w:instrText>PAGE   \* MERGEFORMAT</w:instrText>
        </w:r>
        <w:r>
          <w:fldChar w:fldCharType="separate"/>
        </w:r>
        <w:r w:rsidRPr="00B0769C">
          <w:rPr>
            <w:noProof/>
            <w:lang w:val="fr-FR"/>
          </w:rPr>
          <w:t>13</w:t>
        </w:r>
        <w:r>
          <w:fldChar w:fldCharType="end"/>
        </w:r>
      </w:p>
    </w:sdtContent>
  </w:sdt>
  <w:p w14:paraId="4E1DD0A8" w14:textId="4C90E3F2" w:rsidR="00DB1B66" w:rsidRDefault="00DB1B66" w:rsidP="000D76E7">
    <w:pPr>
      <w:pStyle w:val="Footer"/>
      <w:jc w:val="righ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385474"/>
      <w:docPartObj>
        <w:docPartGallery w:val="Page Numbers (Bottom of Page)"/>
        <w:docPartUnique/>
      </w:docPartObj>
    </w:sdtPr>
    <w:sdtEndPr/>
    <w:sdtContent>
      <w:p w14:paraId="2DBB5531" w14:textId="1186B007" w:rsidR="00DB1B66" w:rsidRDefault="00DB1B66">
        <w:pPr>
          <w:pStyle w:val="Footer"/>
        </w:pPr>
        <w:r>
          <w:fldChar w:fldCharType="begin"/>
        </w:r>
        <w:r>
          <w:instrText>PAGE   \* MERGEFORMAT</w:instrText>
        </w:r>
        <w:r>
          <w:fldChar w:fldCharType="separate"/>
        </w:r>
        <w:r w:rsidRPr="00B0769C">
          <w:rPr>
            <w:noProof/>
            <w:lang w:val="fr-FR"/>
          </w:rPr>
          <w:t>1</w:t>
        </w:r>
        <w:r>
          <w:fldChar w:fldCharType="end"/>
        </w:r>
      </w:p>
    </w:sdtContent>
  </w:sdt>
  <w:p w14:paraId="1784612E" w14:textId="77777777" w:rsidR="00DB1B66" w:rsidRDefault="00DB1B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8F23" w14:textId="77777777" w:rsidR="00DB1B66" w:rsidRDefault="00DB1B66" w:rsidP="002549B0">
    <w:pPr>
      <w:pStyle w:val="Footer"/>
      <w:jc w:val="center"/>
    </w:pPr>
    <w:r>
      <w:t xml:space="preserve"> Produced by Data Services and Analysis Directorate (PSC) – Updated on October 5,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980900"/>
      <w:docPartObj>
        <w:docPartGallery w:val="Page Numbers (Bottom of Page)"/>
        <w:docPartUnique/>
      </w:docPartObj>
    </w:sdtPr>
    <w:sdtEndPr/>
    <w:sdtContent>
      <w:p w14:paraId="3D014CFD" w14:textId="11F579B9" w:rsidR="00DB1B66" w:rsidRDefault="00DB1B66">
        <w:pPr>
          <w:pStyle w:val="Footer"/>
        </w:pPr>
        <w:r>
          <w:fldChar w:fldCharType="begin"/>
        </w:r>
        <w:r>
          <w:instrText>PAGE   \* MERGEFORMAT</w:instrText>
        </w:r>
        <w:r>
          <w:fldChar w:fldCharType="separate"/>
        </w:r>
        <w:r w:rsidRPr="00B0769C">
          <w:rPr>
            <w:noProof/>
            <w:lang w:val="fr-FR"/>
          </w:rPr>
          <w:t>20</w:t>
        </w:r>
        <w:r>
          <w:fldChar w:fldCharType="end"/>
        </w:r>
      </w:p>
    </w:sdtContent>
  </w:sdt>
  <w:p w14:paraId="295527E1" w14:textId="7CBA5FDB" w:rsidR="00DB1B66" w:rsidRPr="00F366EE" w:rsidRDefault="00DB1B66" w:rsidP="0077448D">
    <w:pPr>
      <w:pStyle w:val="Footer"/>
      <w:rPr>
        <w:rFonts w:asciiTheme="minorHAnsi" w:hAnsiTheme="minorHAnsi" w:cstheme="minorHAnsi"/>
        <w:b/>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94F0" w14:textId="77777777" w:rsidR="00DB1B66" w:rsidRPr="00A56930" w:rsidRDefault="00DB1B66" w:rsidP="006A328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735259"/>
      <w:docPartObj>
        <w:docPartGallery w:val="Page Numbers (Bottom of Page)"/>
        <w:docPartUnique/>
      </w:docPartObj>
    </w:sdtPr>
    <w:sdtEndPr/>
    <w:sdtContent>
      <w:p w14:paraId="14037F47" w14:textId="74B009BD" w:rsidR="00DB1B66" w:rsidRDefault="00DB1B66">
        <w:pPr>
          <w:pStyle w:val="Footer"/>
        </w:pPr>
        <w:r>
          <w:fldChar w:fldCharType="begin"/>
        </w:r>
        <w:r>
          <w:instrText>PAGE   \* MERGEFORMAT</w:instrText>
        </w:r>
        <w:r>
          <w:fldChar w:fldCharType="separate"/>
        </w:r>
        <w:r w:rsidRPr="00B0769C">
          <w:rPr>
            <w:noProof/>
            <w:lang w:val="fr-FR"/>
          </w:rPr>
          <w:t>29</w:t>
        </w:r>
        <w:r>
          <w:fldChar w:fldCharType="end"/>
        </w:r>
      </w:p>
    </w:sdtContent>
  </w:sdt>
  <w:p w14:paraId="321E9D80" w14:textId="77777777" w:rsidR="00DB1B66" w:rsidRDefault="00DB1B66" w:rsidP="006A3286">
    <w:pPr>
      <w:pStyle w:val="Header"/>
      <w:jc w:val="center"/>
      <w:rPr>
        <w:rFonts w:asciiTheme="minorHAnsi" w:hAnsiTheme="minorHAnsi" w:cstheme="minorHAnsi"/>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C90C0" w14:textId="77777777" w:rsidR="0025296D" w:rsidRDefault="0025296D" w:rsidP="0051557E">
      <w:r>
        <w:separator/>
      </w:r>
    </w:p>
  </w:footnote>
  <w:footnote w:type="continuationSeparator" w:id="0">
    <w:p w14:paraId="65634578" w14:textId="77777777" w:rsidR="0025296D" w:rsidRDefault="0025296D" w:rsidP="00515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6914" w14:textId="77777777" w:rsidR="00DB1B66" w:rsidRDefault="00DB1B66" w:rsidP="0051557E">
    <w:pPr>
      <w:pStyle w:val="Header"/>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C9C7" w14:textId="240C3C38" w:rsidR="00DB1B66" w:rsidRPr="00CA2154" w:rsidRDefault="00DB1B66" w:rsidP="00CA21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5DA2" w14:textId="2521EF38" w:rsidR="00DB1B66" w:rsidRPr="00CA2154" w:rsidRDefault="00DB1B66" w:rsidP="00CA21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6C58" w14:textId="77777777" w:rsidR="00DB1B66" w:rsidRPr="00896F90" w:rsidRDefault="00DB1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DDF"/>
    <w:multiLevelType w:val="hybridMultilevel"/>
    <w:tmpl w:val="D29ADE6E"/>
    <w:lvl w:ilvl="0" w:tplc="10090001">
      <w:start w:val="1"/>
      <w:numFmt w:val="bullet"/>
      <w:lvlText w:val=""/>
      <w:lvlJc w:val="left"/>
      <w:pPr>
        <w:ind w:left="720" w:hanging="360"/>
      </w:pPr>
      <w:rPr>
        <w:rFonts w:ascii="Symbol" w:hAnsi="Symbol" w:hint="default"/>
      </w:rPr>
    </w:lvl>
    <w:lvl w:ilvl="1" w:tplc="E084BEB6">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EE532D"/>
    <w:multiLevelType w:val="hybridMultilevel"/>
    <w:tmpl w:val="EA322C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BB64CBB"/>
    <w:multiLevelType w:val="hybridMultilevel"/>
    <w:tmpl w:val="F43C4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7858AE"/>
    <w:multiLevelType w:val="multilevel"/>
    <w:tmpl w:val="8EC006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47966E7"/>
    <w:multiLevelType w:val="hybridMultilevel"/>
    <w:tmpl w:val="F76C962E"/>
    <w:lvl w:ilvl="0" w:tplc="CE5C5B68">
      <w:start w:val="1"/>
      <w:numFmt w:val="bullet"/>
      <w:lvlText w:val="•"/>
      <w:lvlJc w:val="left"/>
      <w:pPr>
        <w:tabs>
          <w:tab w:val="num" w:pos="720"/>
        </w:tabs>
        <w:ind w:left="720" w:hanging="360"/>
      </w:pPr>
      <w:rPr>
        <w:rFonts w:ascii="Arial" w:hAnsi="Arial" w:hint="default"/>
      </w:rPr>
    </w:lvl>
    <w:lvl w:ilvl="1" w:tplc="F7F66436">
      <w:start w:val="76"/>
      <w:numFmt w:val="bullet"/>
      <w:lvlText w:val="•"/>
      <w:lvlJc w:val="left"/>
      <w:pPr>
        <w:tabs>
          <w:tab w:val="num" w:pos="1440"/>
        </w:tabs>
        <w:ind w:left="1440" w:hanging="360"/>
      </w:pPr>
      <w:rPr>
        <w:rFonts w:ascii="Arial" w:hAnsi="Arial" w:hint="default"/>
      </w:rPr>
    </w:lvl>
    <w:lvl w:ilvl="2" w:tplc="CEF41514" w:tentative="1">
      <w:start w:val="1"/>
      <w:numFmt w:val="bullet"/>
      <w:lvlText w:val="•"/>
      <w:lvlJc w:val="left"/>
      <w:pPr>
        <w:tabs>
          <w:tab w:val="num" w:pos="2160"/>
        </w:tabs>
        <w:ind w:left="2160" w:hanging="360"/>
      </w:pPr>
      <w:rPr>
        <w:rFonts w:ascii="Arial" w:hAnsi="Arial" w:hint="default"/>
      </w:rPr>
    </w:lvl>
    <w:lvl w:ilvl="3" w:tplc="F482A62E" w:tentative="1">
      <w:start w:val="1"/>
      <w:numFmt w:val="bullet"/>
      <w:lvlText w:val="•"/>
      <w:lvlJc w:val="left"/>
      <w:pPr>
        <w:tabs>
          <w:tab w:val="num" w:pos="2880"/>
        </w:tabs>
        <w:ind w:left="2880" w:hanging="360"/>
      </w:pPr>
      <w:rPr>
        <w:rFonts w:ascii="Arial" w:hAnsi="Arial" w:hint="default"/>
      </w:rPr>
    </w:lvl>
    <w:lvl w:ilvl="4" w:tplc="9AFC614C" w:tentative="1">
      <w:start w:val="1"/>
      <w:numFmt w:val="bullet"/>
      <w:lvlText w:val="•"/>
      <w:lvlJc w:val="left"/>
      <w:pPr>
        <w:tabs>
          <w:tab w:val="num" w:pos="3600"/>
        </w:tabs>
        <w:ind w:left="3600" w:hanging="360"/>
      </w:pPr>
      <w:rPr>
        <w:rFonts w:ascii="Arial" w:hAnsi="Arial" w:hint="default"/>
      </w:rPr>
    </w:lvl>
    <w:lvl w:ilvl="5" w:tplc="2CF65ECC" w:tentative="1">
      <w:start w:val="1"/>
      <w:numFmt w:val="bullet"/>
      <w:lvlText w:val="•"/>
      <w:lvlJc w:val="left"/>
      <w:pPr>
        <w:tabs>
          <w:tab w:val="num" w:pos="4320"/>
        </w:tabs>
        <w:ind w:left="4320" w:hanging="360"/>
      </w:pPr>
      <w:rPr>
        <w:rFonts w:ascii="Arial" w:hAnsi="Arial" w:hint="default"/>
      </w:rPr>
    </w:lvl>
    <w:lvl w:ilvl="6" w:tplc="41D4D958" w:tentative="1">
      <w:start w:val="1"/>
      <w:numFmt w:val="bullet"/>
      <w:lvlText w:val="•"/>
      <w:lvlJc w:val="left"/>
      <w:pPr>
        <w:tabs>
          <w:tab w:val="num" w:pos="5040"/>
        </w:tabs>
        <w:ind w:left="5040" w:hanging="360"/>
      </w:pPr>
      <w:rPr>
        <w:rFonts w:ascii="Arial" w:hAnsi="Arial" w:hint="default"/>
      </w:rPr>
    </w:lvl>
    <w:lvl w:ilvl="7" w:tplc="C680DA1A" w:tentative="1">
      <w:start w:val="1"/>
      <w:numFmt w:val="bullet"/>
      <w:lvlText w:val="•"/>
      <w:lvlJc w:val="left"/>
      <w:pPr>
        <w:tabs>
          <w:tab w:val="num" w:pos="5760"/>
        </w:tabs>
        <w:ind w:left="5760" w:hanging="360"/>
      </w:pPr>
      <w:rPr>
        <w:rFonts w:ascii="Arial" w:hAnsi="Arial" w:hint="default"/>
      </w:rPr>
    </w:lvl>
    <w:lvl w:ilvl="8" w:tplc="BED0E6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70252F"/>
    <w:multiLevelType w:val="hybridMultilevel"/>
    <w:tmpl w:val="8DD81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E721B5"/>
    <w:multiLevelType w:val="hybridMultilevel"/>
    <w:tmpl w:val="C4F459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05B4CB3"/>
    <w:multiLevelType w:val="hybridMultilevel"/>
    <w:tmpl w:val="4B383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992871"/>
    <w:multiLevelType w:val="hybridMultilevel"/>
    <w:tmpl w:val="598835E2"/>
    <w:lvl w:ilvl="0" w:tplc="10090001">
      <w:start w:val="1"/>
      <w:numFmt w:val="bullet"/>
      <w:lvlText w:val=""/>
      <w:lvlJc w:val="left"/>
      <w:pPr>
        <w:ind w:left="1797" w:hanging="360"/>
      </w:pPr>
      <w:rPr>
        <w:rFonts w:ascii="Symbol" w:hAnsi="Symbol" w:hint="default"/>
      </w:rPr>
    </w:lvl>
    <w:lvl w:ilvl="1" w:tplc="10090003" w:tentative="1">
      <w:start w:val="1"/>
      <w:numFmt w:val="bullet"/>
      <w:lvlText w:val="o"/>
      <w:lvlJc w:val="left"/>
      <w:pPr>
        <w:ind w:left="2517" w:hanging="360"/>
      </w:pPr>
      <w:rPr>
        <w:rFonts w:ascii="Courier New" w:hAnsi="Courier New" w:cs="Courier New" w:hint="default"/>
      </w:rPr>
    </w:lvl>
    <w:lvl w:ilvl="2" w:tplc="10090005" w:tentative="1">
      <w:start w:val="1"/>
      <w:numFmt w:val="bullet"/>
      <w:lvlText w:val=""/>
      <w:lvlJc w:val="left"/>
      <w:pPr>
        <w:ind w:left="3237" w:hanging="360"/>
      </w:pPr>
      <w:rPr>
        <w:rFonts w:ascii="Wingdings" w:hAnsi="Wingdings" w:hint="default"/>
      </w:rPr>
    </w:lvl>
    <w:lvl w:ilvl="3" w:tplc="10090001" w:tentative="1">
      <w:start w:val="1"/>
      <w:numFmt w:val="bullet"/>
      <w:lvlText w:val=""/>
      <w:lvlJc w:val="left"/>
      <w:pPr>
        <w:ind w:left="3957" w:hanging="360"/>
      </w:pPr>
      <w:rPr>
        <w:rFonts w:ascii="Symbol" w:hAnsi="Symbol" w:hint="default"/>
      </w:rPr>
    </w:lvl>
    <w:lvl w:ilvl="4" w:tplc="10090003" w:tentative="1">
      <w:start w:val="1"/>
      <w:numFmt w:val="bullet"/>
      <w:lvlText w:val="o"/>
      <w:lvlJc w:val="left"/>
      <w:pPr>
        <w:ind w:left="4677" w:hanging="360"/>
      </w:pPr>
      <w:rPr>
        <w:rFonts w:ascii="Courier New" w:hAnsi="Courier New" w:cs="Courier New" w:hint="default"/>
      </w:rPr>
    </w:lvl>
    <w:lvl w:ilvl="5" w:tplc="10090005" w:tentative="1">
      <w:start w:val="1"/>
      <w:numFmt w:val="bullet"/>
      <w:lvlText w:val=""/>
      <w:lvlJc w:val="left"/>
      <w:pPr>
        <w:ind w:left="5397" w:hanging="360"/>
      </w:pPr>
      <w:rPr>
        <w:rFonts w:ascii="Wingdings" w:hAnsi="Wingdings" w:hint="default"/>
      </w:rPr>
    </w:lvl>
    <w:lvl w:ilvl="6" w:tplc="10090001" w:tentative="1">
      <w:start w:val="1"/>
      <w:numFmt w:val="bullet"/>
      <w:lvlText w:val=""/>
      <w:lvlJc w:val="left"/>
      <w:pPr>
        <w:ind w:left="6117" w:hanging="360"/>
      </w:pPr>
      <w:rPr>
        <w:rFonts w:ascii="Symbol" w:hAnsi="Symbol" w:hint="default"/>
      </w:rPr>
    </w:lvl>
    <w:lvl w:ilvl="7" w:tplc="10090003" w:tentative="1">
      <w:start w:val="1"/>
      <w:numFmt w:val="bullet"/>
      <w:lvlText w:val="o"/>
      <w:lvlJc w:val="left"/>
      <w:pPr>
        <w:ind w:left="6837" w:hanging="360"/>
      </w:pPr>
      <w:rPr>
        <w:rFonts w:ascii="Courier New" w:hAnsi="Courier New" w:cs="Courier New" w:hint="default"/>
      </w:rPr>
    </w:lvl>
    <w:lvl w:ilvl="8" w:tplc="10090005" w:tentative="1">
      <w:start w:val="1"/>
      <w:numFmt w:val="bullet"/>
      <w:lvlText w:val=""/>
      <w:lvlJc w:val="left"/>
      <w:pPr>
        <w:ind w:left="7557" w:hanging="360"/>
      </w:pPr>
      <w:rPr>
        <w:rFonts w:ascii="Wingdings" w:hAnsi="Wingdings" w:hint="default"/>
      </w:rPr>
    </w:lvl>
  </w:abstractNum>
  <w:abstractNum w:abstractNumId="9" w15:restartNumberingAfterBreak="0">
    <w:nsid w:val="30F856D4"/>
    <w:multiLevelType w:val="hybridMultilevel"/>
    <w:tmpl w:val="B3185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3B5FCF"/>
    <w:multiLevelType w:val="hybridMultilevel"/>
    <w:tmpl w:val="4EC0AF72"/>
    <w:lvl w:ilvl="0" w:tplc="10090001">
      <w:start w:val="1"/>
      <w:numFmt w:val="bullet"/>
      <w:lvlText w:val=""/>
      <w:lvlJc w:val="left"/>
      <w:pPr>
        <w:ind w:left="360" w:hanging="360"/>
      </w:pPr>
      <w:rPr>
        <w:rFonts w:ascii="Symbol" w:hAnsi="Symbol" w:hint="default"/>
      </w:rPr>
    </w:lvl>
    <w:lvl w:ilvl="1" w:tplc="169E289C">
      <w:numFmt w:val="bullet"/>
      <w:lvlText w:val="-"/>
      <w:lvlJc w:val="left"/>
      <w:pPr>
        <w:ind w:left="1080" w:hanging="360"/>
      </w:pPr>
      <w:rPr>
        <w:rFonts w:ascii="Arial" w:eastAsiaTheme="minorHAnsi"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7176AF"/>
    <w:multiLevelType w:val="hybridMultilevel"/>
    <w:tmpl w:val="DC0EA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95783A"/>
    <w:multiLevelType w:val="hybridMultilevel"/>
    <w:tmpl w:val="3AAA1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5A50EF"/>
    <w:multiLevelType w:val="hybridMultilevel"/>
    <w:tmpl w:val="36CEDA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E44718C"/>
    <w:multiLevelType w:val="hybridMultilevel"/>
    <w:tmpl w:val="DF1E189A"/>
    <w:lvl w:ilvl="0" w:tplc="E084BE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576C7"/>
    <w:multiLevelType w:val="hybridMultilevel"/>
    <w:tmpl w:val="A0EAA5EE"/>
    <w:lvl w:ilvl="0" w:tplc="10090001">
      <w:start w:val="1"/>
      <w:numFmt w:val="bullet"/>
      <w:lvlText w:val=""/>
      <w:lvlJc w:val="left"/>
      <w:pPr>
        <w:ind w:left="720" w:hanging="360"/>
      </w:pPr>
      <w:rPr>
        <w:rFonts w:ascii="Symbol" w:hAnsi="Symbol" w:hint="default"/>
      </w:rPr>
    </w:lvl>
    <w:lvl w:ilvl="1" w:tplc="E084BEB6">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F242B8"/>
    <w:multiLevelType w:val="hybridMultilevel"/>
    <w:tmpl w:val="884AF698"/>
    <w:lvl w:ilvl="0" w:tplc="10090001">
      <w:start w:val="1"/>
      <w:numFmt w:val="bullet"/>
      <w:lvlText w:val=""/>
      <w:lvlJc w:val="left"/>
      <w:pPr>
        <w:ind w:left="720" w:hanging="360"/>
      </w:pPr>
      <w:rPr>
        <w:rFonts w:ascii="Symbol" w:hAnsi="Symbol" w:hint="default"/>
      </w:rPr>
    </w:lvl>
    <w:lvl w:ilvl="1" w:tplc="E084BEB6">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254077"/>
    <w:multiLevelType w:val="hybridMultilevel"/>
    <w:tmpl w:val="9CD063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F3864BF"/>
    <w:multiLevelType w:val="hybridMultilevel"/>
    <w:tmpl w:val="99EA136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51E03E94"/>
    <w:multiLevelType w:val="hybridMultilevel"/>
    <w:tmpl w:val="CDB8B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9B18DE"/>
    <w:multiLevelType w:val="hybridMultilevel"/>
    <w:tmpl w:val="30408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B906229"/>
    <w:multiLevelType w:val="hybridMultilevel"/>
    <w:tmpl w:val="E98C22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C9C26DB"/>
    <w:multiLevelType w:val="hybridMultilevel"/>
    <w:tmpl w:val="CC461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3BC7F93"/>
    <w:multiLevelType w:val="hybridMultilevel"/>
    <w:tmpl w:val="E8DCE7A6"/>
    <w:lvl w:ilvl="0" w:tplc="B1629A8E">
      <w:start w:val="3"/>
      <w:numFmt w:val="bullet"/>
      <w:lvlText w:val="-"/>
      <w:lvlJc w:val="left"/>
      <w:pPr>
        <w:ind w:left="720" w:hanging="360"/>
      </w:pPr>
      <w:rPr>
        <w:rFonts w:ascii="Segoe UI Semilight" w:eastAsia="Times New Roman"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0F636F"/>
    <w:multiLevelType w:val="hybridMultilevel"/>
    <w:tmpl w:val="D0EC7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81F37F3"/>
    <w:multiLevelType w:val="hybridMultilevel"/>
    <w:tmpl w:val="682A848A"/>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A42269D"/>
    <w:multiLevelType w:val="hybridMultilevel"/>
    <w:tmpl w:val="6A26ACC4"/>
    <w:lvl w:ilvl="0" w:tplc="1009000D">
      <w:start w:val="1"/>
      <w:numFmt w:val="bullet"/>
      <w:lvlText w:val=""/>
      <w:lvlJc w:val="left"/>
      <w:pPr>
        <w:ind w:left="1080" w:hanging="360"/>
      </w:pPr>
      <w:rPr>
        <w:rFonts w:ascii="Wingdings" w:hAnsi="Wingdings" w:hint="default"/>
        <w:color w:val="auto"/>
        <w:lang w:val="en-CA"/>
      </w:rPr>
    </w:lvl>
    <w:lvl w:ilvl="1" w:tplc="1009000D">
      <w:start w:val="1"/>
      <w:numFmt w:val="bullet"/>
      <w:lvlText w:val=""/>
      <w:lvlJc w:val="left"/>
      <w:pPr>
        <w:ind w:left="1788" w:hanging="360"/>
      </w:pPr>
      <w:rPr>
        <w:rFonts w:ascii="Wingdings" w:hAnsi="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B821CFB"/>
    <w:multiLevelType w:val="hybridMultilevel"/>
    <w:tmpl w:val="264233CA"/>
    <w:lvl w:ilvl="0" w:tplc="1009000D">
      <w:start w:val="1"/>
      <w:numFmt w:val="bullet"/>
      <w:lvlText w:val=""/>
      <w:lvlJc w:val="left"/>
      <w:pPr>
        <w:ind w:left="360" w:hanging="360"/>
      </w:pPr>
      <w:rPr>
        <w:rFonts w:ascii="Wingdings" w:hAnsi="Wingdings" w:hint="default"/>
        <w:color w:val="auto"/>
        <w:lang w:val="en-CA"/>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04B3C14"/>
    <w:multiLevelType w:val="hybridMultilevel"/>
    <w:tmpl w:val="24A64E0A"/>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3">
      <w:start w:val="1"/>
      <w:numFmt w:val="bullet"/>
      <w:lvlText w:val="o"/>
      <w:lvlJc w:val="left"/>
      <w:pPr>
        <w:ind w:left="1800" w:hanging="360"/>
      </w:pPr>
      <w:rPr>
        <w:rFonts w:ascii="Courier New" w:hAnsi="Courier New" w:cs="Courier New"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276730E"/>
    <w:multiLevelType w:val="hybridMultilevel"/>
    <w:tmpl w:val="97562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80D54F1"/>
    <w:multiLevelType w:val="hybridMultilevel"/>
    <w:tmpl w:val="F3C68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8E94D26"/>
    <w:multiLevelType w:val="hybridMultilevel"/>
    <w:tmpl w:val="C4C2C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
  </w:num>
  <w:num w:numId="4">
    <w:abstractNumId w:val="0"/>
  </w:num>
  <w:num w:numId="5">
    <w:abstractNumId w:val="24"/>
  </w:num>
  <w:num w:numId="6">
    <w:abstractNumId w:val="20"/>
  </w:num>
  <w:num w:numId="7">
    <w:abstractNumId w:val="31"/>
  </w:num>
  <w:num w:numId="8">
    <w:abstractNumId w:val="16"/>
  </w:num>
  <w:num w:numId="9">
    <w:abstractNumId w:val="15"/>
  </w:num>
  <w:num w:numId="10">
    <w:abstractNumId w:val="12"/>
  </w:num>
  <w:num w:numId="11">
    <w:abstractNumId w:val="1"/>
  </w:num>
  <w:num w:numId="12">
    <w:abstractNumId w:val="25"/>
  </w:num>
  <w:num w:numId="13">
    <w:abstractNumId w:val="27"/>
  </w:num>
  <w:num w:numId="14">
    <w:abstractNumId w:val="28"/>
  </w:num>
  <w:num w:numId="15">
    <w:abstractNumId w:val="30"/>
  </w:num>
  <w:num w:numId="16">
    <w:abstractNumId w:val="5"/>
  </w:num>
  <w:num w:numId="17">
    <w:abstractNumId w:val="9"/>
  </w:num>
  <w:num w:numId="18">
    <w:abstractNumId w:val="6"/>
  </w:num>
  <w:num w:numId="19">
    <w:abstractNumId w:val="29"/>
  </w:num>
  <w:num w:numId="20">
    <w:abstractNumId w:val="4"/>
  </w:num>
  <w:num w:numId="21">
    <w:abstractNumId w:val="10"/>
  </w:num>
  <w:num w:numId="22">
    <w:abstractNumId w:val="22"/>
  </w:num>
  <w:num w:numId="23">
    <w:abstractNumId w:val="13"/>
  </w:num>
  <w:num w:numId="24">
    <w:abstractNumId w:val="7"/>
  </w:num>
  <w:num w:numId="25">
    <w:abstractNumId w:val="3"/>
  </w:num>
  <w:num w:numId="26">
    <w:abstractNumId w:val="21"/>
  </w:num>
  <w:num w:numId="27">
    <w:abstractNumId w:val="17"/>
  </w:num>
  <w:num w:numId="28">
    <w:abstractNumId w:val="23"/>
  </w:num>
  <w:num w:numId="29">
    <w:abstractNumId w:val="18"/>
  </w:num>
  <w:num w:numId="30">
    <w:abstractNumId w:val="26"/>
  </w:num>
  <w:num w:numId="31">
    <w:abstractNumId w:val="11"/>
  </w:num>
  <w:num w:numId="32">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8D3"/>
    <w:rsid w:val="000032BC"/>
    <w:rsid w:val="00005F5A"/>
    <w:rsid w:val="000225BD"/>
    <w:rsid w:val="00023A82"/>
    <w:rsid w:val="0002549E"/>
    <w:rsid w:val="000272A9"/>
    <w:rsid w:val="00030C43"/>
    <w:rsid w:val="000350B9"/>
    <w:rsid w:val="000370AE"/>
    <w:rsid w:val="000370B0"/>
    <w:rsid w:val="00037946"/>
    <w:rsid w:val="00037E7D"/>
    <w:rsid w:val="000437CC"/>
    <w:rsid w:val="000442DA"/>
    <w:rsid w:val="0004437B"/>
    <w:rsid w:val="00052FE3"/>
    <w:rsid w:val="00054481"/>
    <w:rsid w:val="00054942"/>
    <w:rsid w:val="00057C02"/>
    <w:rsid w:val="00057FE1"/>
    <w:rsid w:val="00062226"/>
    <w:rsid w:val="00066B48"/>
    <w:rsid w:val="00070148"/>
    <w:rsid w:val="00070578"/>
    <w:rsid w:val="000747DB"/>
    <w:rsid w:val="00084741"/>
    <w:rsid w:val="00086418"/>
    <w:rsid w:val="00094FCC"/>
    <w:rsid w:val="00097F55"/>
    <w:rsid w:val="000A20CC"/>
    <w:rsid w:val="000A3222"/>
    <w:rsid w:val="000A5B54"/>
    <w:rsid w:val="000A6CE5"/>
    <w:rsid w:val="000A6F52"/>
    <w:rsid w:val="000A7A2F"/>
    <w:rsid w:val="000B4216"/>
    <w:rsid w:val="000C3C8A"/>
    <w:rsid w:val="000C4E9A"/>
    <w:rsid w:val="000C5A39"/>
    <w:rsid w:val="000D61F6"/>
    <w:rsid w:val="000D76E7"/>
    <w:rsid w:val="000E1214"/>
    <w:rsid w:val="000E2F8F"/>
    <w:rsid w:val="000E5292"/>
    <w:rsid w:val="000E5FBB"/>
    <w:rsid w:val="000E70A9"/>
    <w:rsid w:val="00104A02"/>
    <w:rsid w:val="0010607D"/>
    <w:rsid w:val="00111061"/>
    <w:rsid w:val="00117D89"/>
    <w:rsid w:val="00117E72"/>
    <w:rsid w:val="001221FC"/>
    <w:rsid w:val="00122AE9"/>
    <w:rsid w:val="00124E4B"/>
    <w:rsid w:val="001300D6"/>
    <w:rsid w:val="00136403"/>
    <w:rsid w:val="0013696C"/>
    <w:rsid w:val="0014335A"/>
    <w:rsid w:val="001456F7"/>
    <w:rsid w:val="00150771"/>
    <w:rsid w:val="00150FE7"/>
    <w:rsid w:val="001520FE"/>
    <w:rsid w:val="00154041"/>
    <w:rsid w:val="00156B50"/>
    <w:rsid w:val="00160FAC"/>
    <w:rsid w:val="001679B0"/>
    <w:rsid w:val="00170A82"/>
    <w:rsid w:val="00180AA9"/>
    <w:rsid w:val="00181BDB"/>
    <w:rsid w:val="0019007D"/>
    <w:rsid w:val="00190E16"/>
    <w:rsid w:val="0019201C"/>
    <w:rsid w:val="001A20D8"/>
    <w:rsid w:val="001A71E6"/>
    <w:rsid w:val="001A7AFF"/>
    <w:rsid w:val="001B3381"/>
    <w:rsid w:val="001B7B66"/>
    <w:rsid w:val="001C01C2"/>
    <w:rsid w:val="001C1047"/>
    <w:rsid w:val="001C4F65"/>
    <w:rsid w:val="001C63D8"/>
    <w:rsid w:val="001D0817"/>
    <w:rsid w:val="001D5063"/>
    <w:rsid w:val="001E72F9"/>
    <w:rsid w:val="001F23AA"/>
    <w:rsid w:val="001F5CB3"/>
    <w:rsid w:val="001F7461"/>
    <w:rsid w:val="002037E4"/>
    <w:rsid w:val="00207CD7"/>
    <w:rsid w:val="00210749"/>
    <w:rsid w:val="0021247F"/>
    <w:rsid w:val="00212DBE"/>
    <w:rsid w:val="002139AC"/>
    <w:rsid w:val="00215A31"/>
    <w:rsid w:val="00224046"/>
    <w:rsid w:val="00226D8A"/>
    <w:rsid w:val="00244BB9"/>
    <w:rsid w:val="00244CD0"/>
    <w:rsid w:val="0025296D"/>
    <w:rsid w:val="002549B0"/>
    <w:rsid w:val="00255A03"/>
    <w:rsid w:val="00260B6E"/>
    <w:rsid w:val="00261D2D"/>
    <w:rsid w:val="00262621"/>
    <w:rsid w:val="00262923"/>
    <w:rsid w:val="00274D3D"/>
    <w:rsid w:val="00276844"/>
    <w:rsid w:val="00285007"/>
    <w:rsid w:val="002871F0"/>
    <w:rsid w:val="002901B4"/>
    <w:rsid w:val="00293111"/>
    <w:rsid w:val="002961C5"/>
    <w:rsid w:val="002A12DC"/>
    <w:rsid w:val="002C39B4"/>
    <w:rsid w:val="002C3BE6"/>
    <w:rsid w:val="002C4809"/>
    <w:rsid w:val="002D2537"/>
    <w:rsid w:val="002D29D7"/>
    <w:rsid w:val="002D2C4E"/>
    <w:rsid w:val="002D653E"/>
    <w:rsid w:val="002E2944"/>
    <w:rsid w:val="002E73AF"/>
    <w:rsid w:val="002F5725"/>
    <w:rsid w:val="002F5A2C"/>
    <w:rsid w:val="003006EB"/>
    <w:rsid w:val="00305590"/>
    <w:rsid w:val="003133DC"/>
    <w:rsid w:val="00322F28"/>
    <w:rsid w:val="00326D75"/>
    <w:rsid w:val="00330FFC"/>
    <w:rsid w:val="00331527"/>
    <w:rsid w:val="00333A39"/>
    <w:rsid w:val="00342FCE"/>
    <w:rsid w:val="003433B0"/>
    <w:rsid w:val="00345205"/>
    <w:rsid w:val="003531C8"/>
    <w:rsid w:val="00355010"/>
    <w:rsid w:val="00356658"/>
    <w:rsid w:val="00356F95"/>
    <w:rsid w:val="003632F0"/>
    <w:rsid w:val="00364593"/>
    <w:rsid w:val="003748EA"/>
    <w:rsid w:val="00375D78"/>
    <w:rsid w:val="00383A13"/>
    <w:rsid w:val="00386B40"/>
    <w:rsid w:val="00391830"/>
    <w:rsid w:val="00397A4A"/>
    <w:rsid w:val="003A0C4E"/>
    <w:rsid w:val="003A1687"/>
    <w:rsid w:val="003A171F"/>
    <w:rsid w:val="003B35B4"/>
    <w:rsid w:val="003C08D9"/>
    <w:rsid w:val="003C0BC6"/>
    <w:rsid w:val="003C3B6E"/>
    <w:rsid w:val="003C4C7B"/>
    <w:rsid w:val="003C62D6"/>
    <w:rsid w:val="003D047E"/>
    <w:rsid w:val="003D1064"/>
    <w:rsid w:val="003D1D87"/>
    <w:rsid w:val="003D2545"/>
    <w:rsid w:val="003E088F"/>
    <w:rsid w:val="003E6B72"/>
    <w:rsid w:val="003F7F0A"/>
    <w:rsid w:val="00410C47"/>
    <w:rsid w:val="004110F1"/>
    <w:rsid w:val="0041510C"/>
    <w:rsid w:val="00421A54"/>
    <w:rsid w:val="00436220"/>
    <w:rsid w:val="00440642"/>
    <w:rsid w:val="004414C9"/>
    <w:rsid w:val="0044158B"/>
    <w:rsid w:val="00443434"/>
    <w:rsid w:val="00456A0D"/>
    <w:rsid w:val="00463970"/>
    <w:rsid w:val="00464CF0"/>
    <w:rsid w:val="00467596"/>
    <w:rsid w:val="00476EF5"/>
    <w:rsid w:val="00481ED9"/>
    <w:rsid w:val="00483866"/>
    <w:rsid w:val="004A696C"/>
    <w:rsid w:val="004A7FAA"/>
    <w:rsid w:val="004B11DA"/>
    <w:rsid w:val="004B556C"/>
    <w:rsid w:val="004B78B4"/>
    <w:rsid w:val="004D265F"/>
    <w:rsid w:val="004D2FB9"/>
    <w:rsid w:val="004D54D0"/>
    <w:rsid w:val="004D6FC6"/>
    <w:rsid w:val="004D7832"/>
    <w:rsid w:val="004D7FB7"/>
    <w:rsid w:val="004E06C6"/>
    <w:rsid w:val="004F25D7"/>
    <w:rsid w:val="004F36EF"/>
    <w:rsid w:val="004F7697"/>
    <w:rsid w:val="00511382"/>
    <w:rsid w:val="0051271B"/>
    <w:rsid w:val="0051557E"/>
    <w:rsid w:val="00515DA6"/>
    <w:rsid w:val="00521689"/>
    <w:rsid w:val="00521717"/>
    <w:rsid w:val="00522F95"/>
    <w:rsid w:val="0052778E"/>
    <w:rsid w:val="00527C4A"/>
    <w:rsid w:val="00530539"/>
    <w:rsid w:val="005346A5"/>
    <w:rsid w:val="00536460"/>
    <w:rsid w:val="00540386"/>
    <w:rsid w:val="00540F7E"/>
    <w:rsid w:val="00542A5E"/>
    <w:rsid w:val="005449BC"/>
    <w:rsid w:val="00546B2C"/>
    <w:rsid w:val="00547467"/>
    <w:rsid w:val="00550E9F"/>
    <w:rsid w:val="00552DA6"/>
    <w:rsid w:val="0056567C"/>
    <w:rsid w:val="005673DB"/>
    <w:rsid w:val="005712BB"/>
    <w:rsid w:val="005719F2"/>
    <w:rsid w:val="005740A4"/>
    <w:rsid w:val="0058273B"/>
    <w:rsid w:val="00586C61"/>
    <w:rsid w:val="00590618"/>
    <w:rsid w:val="0059129D"/>
    <w:rsid w:val="005A01D5"/>
    <w:rsid w:val="005B7E30"/>
    <w:rsid w:val="005C03BA"/>
    <w:rsid w:val="005C0483"/>
    <w:rsid w:val="005C5EFF"/>
    <w:rsid w:val="005C65DA"/>
    <w:rsid w:val="005D2C19"/>
    <w:rsid w:val="005D4281"/>
    <w:rsid w:val="005E1887"/>
    <w:rsid w:val="005F1430"/>
    <w:rsid w:val="00600B94"/>
    <w:rsid w:val="00605299"/>
    <w:rsid w:val="006065B2"/>
    <w:rsid w:val="00610FA7"/>
    <w:rsid w:val="0062180E"/>
    <w:rsid w:val="006261D5"/>
    <w:rsid w:val="00626FD1"/>
    <w:rsid w:val="00630BB1"/>
    <w:rsid w:val="00630CD6"/>
    <w:rsid w:val="006323CA"/>
    <w:rsid w:val="00653D23"/>
    <w:rsid w:val="0066223B"/>
    <w:rsid w:val="006632C2"/>
    <w:rsid w:val="0067683B"/>
    <w:rsid w:val="00677CC7"/>
    <w:rsid w:val="00686702"/>
    <w:rsid w:val="00690668"/>
    <w:rsid w:val="006941B3"/>
    <w:rsid w:val="006944E9"/>
    <w:rsid w:val="00694D11"/>
    <w:rsid w:val="006A3286"/>
    <w:rsid w:val="006B10B8"/>
    <w:rsid w:val="006B258A"/>
    <w:rsid w:val="006B3DDE"/>
    <w:rsid w:val="006C59B5"/>
    <w:rsid w:val="006C68A2"/>
    <w:rsid w:val="006C7505"/>
    <w:rsid w:val="006D046D"/>
    <w:rsid w:val="006D5514"/>
    <w:rsid w:val="006E737B"/>
    <w:rsid w:val="0070241F"/>
    <w:rsid w:val="00703771"/>
    <w:rsid w:val="00710735"/>
    <w:rsid w:val="00716EF7"/>
    <w:rsid w:val="00720BF4"/>
    <w:rsid w:val="00720DED"/>
    <w:rsid w:val="00725797"/>
    <w:rsid w:val="00733746"/>
    <w:rsid w:val="0073388C"/>
    <w:rsid w:val="00733908"/>
    <w:rsid w:val="007378D3"/>
    <w:rsid w:val="007427BB"/>
    <w:rsid w:val="00747BBC"/>
    <w:rsid w:val="00755B0A"/>
    <w:rsid w:val="00757382"/>
    <w:rsid w:val="00760198"/>
    <w:rsid w:val="0076163B"/>
    <w:rsid w:val="00766E18"/>
    <w:rsid w:val="0077448D"/>
    <w:rsid w:val="00775CE4"/>
    <w:rsid w:val="0078009E"/>
    <w:rsid w:val="00784F59"/>
    <w:rsid w:val="00785AAF"/>
    <w:rsid w:val="007A149C"/>
    <w:rsid w:val="007A1BCB"/>
    <w:rsid w:val="007A2288"/>
    <w:rsid w:val="007A50D1"/>
    <w:rsid w:val="007B063A"/>
    <w:rsid w:val="007C619C"/>
    <w:rsid w:val="007C6C07"/>
    <w:rsid w:val="007D069C"/>
    <w:rsid w:val="007E03E7"/>
    <w:rsid w:val="007E2ECC"/>
    <w:rsid w:val="007E353F"/>
    <w:rsid w:val="007F1D49"/>
    <w:rsid w:val="007F1DE2"/>
    <w:rsid w:val="0080577C"/>
    <w:rsid w:val="008064AE"/>
    <w:rsid w:val="008136AD"/>
    <w:rsid w:val="008207AC"/>
    <w:rsid w:val="00825E0C"/>
    <w:rsid w:val="0082785F"/>
    <w:rsid w:val="00830DCA"/>
    <w:rsid w:val="00832F05"/>
    <w:rsid w:val="008426A3"/>
    <w:rsid w:val="008441DF"/>
    <w:rsid w:val="00854465"/>
    <w:rsid w:val="00855E66"/>
    <w:rsid w:val="008677E2"/>
    <w:rsid w:val="00870785"/>
    <w:rsid w:val="00874FB3"/>
    <w:rsid w:val="008750DF"/>
    <w:rsid w:val="0088213A"/>
    <w:rsid w:val="00885740"/>
    <w:rsid w:val="00891978"/>
    <w:rsid w:val="00893CBF"/>
    <w:rsid w:val="0089643E"/>
    <w:rsid w:val="008A1C07"/>
    <w:rsid w:val="008B018B"/>
    <w:rsid w:val="008B7DB4"/>
    <w:rsid w:val="008D1410"/>
    <w:rsid w:val="008D272A"/>
    <w:rsid w:val="008D3540"/>
    <w:rsid w:val="008E2A83"/>
    <w:rsid w:val="008E75FC"/>
    <w:rsid w:val="008F1B8A"/>
    <w:rsid w:val="008F1D60"/>
    <w:rsid w:val="008F3466"/>
    <w:rsid w:val="008F79A3"/>
    <w:rsid w:val="00900F4B"/>
    <w:rsid w:val="009026B1"/>
    <w:rsid w:val="009056CD"/>
    <w:rsid w:val="00910C7D"/>
    <w:rsid w:val="00911D92"/>
    <w:rsid w:val="00914093"/>
    <w:rsid w:val="00921081"/>
    <w:rsid w:val="0092589D"/>
    <w:rsid w:val="00932646"/>
    <w:rsid w:val="009377AA"/>
    <w:rsid w:val="00941F6F"/>
    <w:rsid w:val="009457CB"/>
    <w:rsid w:val="00953CEB"/>
    <w:rsid w:val="00960207"/>
    <w:rsid w:val="00966E70"/>
    <w:rsid w:val="0096715D"/>
    <w:rsid w:val="00967726"/>
    <w:rsid w:val="00972F32"/>
    <w:rsid w:val="00975689"/>
    <w:rsid w:val="00976223"/>
    <w:rsid w:val="009800DD"/>
    <w:rsid w:val="00993EC0"/>
    <w:rsid w:val="00995787"/>
    <w:rsid w:val="00997D3F"/>
    <w:rsid w:val="009A34A8"/>
    <w:rsid w:val="009A52D6"/>
    <w:rsid w:val="009A5626"/>
    <w:rsid w:val="009B1D78"/>
    <w:rsid w:val="009B1F56"/>
    <w:rsid w:val="009C39B7"/>
    <w:rsid w:val="009E5234"/>
    <w:rsid w:val="009F5000"/>
    <w:rsid w:val="009F501F"/>
    <w:rsid w:val="00A027AB"/>
    <w:rsid w:val="00A033DB"/>
    <w:rsid w:val="00A04871"/>
    <w:rsid w:val="00A10C03"/>
    <w:rsid w:val="00A11775"/>
    <w:rsid w:val="00A13691"/>
    <w:rsid w:val="00A21EAE"/>
    <w:rsid w:val="00A22090"/>
    <w:rsid w:val="00A31C89"/>
    <w:rsid w:val="00A3677B"/>
    <w:rsid w:val="00A543F2"/>
    <w:rsid w:val="00A60038"/>
    <w:rsid w:val="00A64EEB"/>
    <w:rsid w:val="00A77330"/>
    <w:rsid w:val="00A91F68"/>
    <w:rsid w:val="00AA03F8"/>
    <w:rsid w:val="00AA088B"/>
    <w:rsid w:val="00AB09A7"/>
    <w:rsid w:val="00AB75BE"/>
    <w:rsid w:val="00AC4460"/>
    <w:rsid w:val="00AD242D"/>
    <w:rsid w:val="00AD3C02"/>
    <w:rsid w:val="00AD5CAF"/>
    <w:rsid w:val="00AE71A6"/>
    <w:rsid w:val="00AF0484"/>
    <w:rsid w:val="00AF25CE"/>
    <w:rsid w:val="00B024F7"/>
    <w:rsid w:val="00B04360"/>
    <w:rsid w:val="00B06FF3"/>
    <w:rsid w:val="00B0769C"/>
    <w:rsid w:val="00B07FC6"/>
    <w:rsid w:val="00B11FA2"/>
    <w:rsid w:val="00B132A9"/>
    <w:rsid w:val="00B17077"/>
    <w:rsid w:val="00B24B41"/>
    <w:rsid w:val="00B26ECF"/>
    <w:rsid w:val="00B311C1"/>
    <w:rsid w:val="00B331C7"/>
    <w:rsid w:val="00B360C5"/>
    <w:rsid w:val="00B36AA1"/>
    <w:rsid w:val="00B42473"/>
    <w:rsid w:val="00B43BA8"/>
    <w:rsid w:val="00B46EE3"/>
    <w:rsid w:val="00B47CC8"/>
    <w:rsid w:val="00B51320"/>
    <w:rsid w:val="00B52B83"/>
    <w:rsid w:val="00B56B84"/>
    <w:rsid w:val="00B7094B"/>
    <w:rsid w:val="00B7220B"/>
    <w:rsid w:val="00B73DF4"/>
    <w:rsid w:val="00B768E7"/>
    <w:rsid w:val="00B771FC"/>
    <w:rsid w:val="00B80BA1"/>
    <w:rsid w:val="00B8723B"/>
    <w:rsid w:val="00B948C7"/>
    <w:rsid w:val="00B95E22"/>
    <w:rsid w:val="00BA0621"/>
    <w:rsid w:val="00BC1799"/>
    <w:rsid w:val="00BD374B"/>
    <w:rsid w:val="00BD4618"/>
    <w:rsid w:val="00BD7A73"/>
    <w:rsid w:val="00BE479C"/>
    <w:rsid w:val="00C001BA"/>
    <w:rsid w:val="00C14ACA"/>
    <w:rsid w:val="00C16153"/>
    <w:rsid w:val="00C17272"/>
    <w:rsid w:val="00C2396B"/>
    <w:rsid w:val="00C262BB"/>
    <w:rsid w:val="00C33273"/>
    <w:rsid w:val="00C40D9B"/>
    <w:rsid w:val="00C4101D"/>
    <w:rsid w:val="00C42186"/>
    <w:rsid w:val="00C44824"/>
    <w:rsid w:val="00C4798E"/>
    <w:rsid w:val="00C55B67"/>
    <w:rsid w:val="00C562F1"/>
    <w:rsid w:val="00C56876"/>
    <w:rsid w:val="00C57B8B"/>
    <w:rsid w:val="00C57D01"/>
    <w:rsid w:val="00C60F60"/>
    <w:rsid w:val="00C62DE4"/>
    <w:rsid w:val="00C65028"/>
    <w:rsid w:val="00C727B4"/>
    <w:rsid w:val="00C73191"/>
    <w:rsid w:val="00C73AFF"/>
    <w:rsid w:val="00C73D68"/>
    <w:rsid w:val="00C76B6D"/>
    <w:rsid w:val="00C82E11"/>
    <w:rsid w:val="00C83463"/>
    <w:rsid w:val="00C8417D"/>
    <w:rsid w:val="00C900E4"/>
    <w:rsid w:val="00C91AC5"/>
    <w:rsid w:val="00C9203C"/>
    <w:rsid w:val="00C94251"/>
    <w:rsid w:val="00C95D07"/>
    <w:rsid w:val="00CA2154"/>
    <w:rsid w:val="00CA3F1F"/>
    <w:rsid w:val="00CB60CE"/>
    <w:rsid w:val="00CF48F6"/>
    <w:rsid w:val="00D004B3"/>
    <w:rsid w:val="00D06B79"/>
    <w:rsid w:val="00D077D5"/>
    <w:rsid w:val="00D2017A"/>
    <w:rsid w:val="00D2723A"/>
    <w:rsid w:val="00D41BA9"/>
    <w:rsid w:val="00D42CF8"/>
    <w:rsid w:val="00D4741E"/>
    <w:rsid w:val="00D47A15"/>
    <w:rsid w:val="00D51221"/>
    <w:rsid w:val="00D5739A"/>
    <w:rsid w:val="00D638A6"/>
    <w:rsid w:val="00D6694C"/>
    <w:rsid w:val="00D71410"/>
    <w:rsid w:val="00D7145E"/>
    <w:rsid w:val="00D73EFB"/>
    <w:rsid w:val="00D76F82"/>
    <w:rsid w:val="00D919FE"/>
    <w:rsid w:val="00DA0C46"/>
    <w:rsid w:val="00DA4866"/>
    <w:rsid w:val="00DA5CFE"/>
    <w:rsid w:val="00DB0D0C"/>
    <w:rsid w:val="00DB1B66"/>
    <w:rsid w:val="00DC4024"/>
    <w:rsid w:val="00DD0FD0"/>
    <w:rsid w:val="00DD118E"/>
    <w:rsid w:val="00DD38B6"/>
    <w:rsid w:val="00DD655C"/>
    <w:rsid w:val="00DE1AD2"/>
    <w:rsid w:val="00DF4306"/>
    <w:rsid w:val="00DF5CA0"/>
    <w:rsid w:val="00E00951"/>
    <w:rsid w:val="00E01D96"/>
    <w:rsid w:val="00E038B1"/>
    <w:rsid w:val="00E13B39"/>
    <w:rsid w:val="00E21E43"/>
    <w:rsid w:val="00E23B0D"/>
    <w:rsid w:val="00E3652C"/>
    <w:rsid w:val="00E517C7"/>
    <w:rsid w:val="00E524A6"/>
    <w:rsid w:val="00E5479B"/>
    <w:rsid w:val="00E54EDE"/>
    <w:rsid w:val="00E6031E"/>
    <w:rsid w:val="00E62E02"/>
    <w:rsid w:val="00E671AF"/>
    <w:rsid w:val="00E67415"/>
    <w:rsid w:val="00E778F3"/>
    <w:rsid w:val="00E817A4"/>
    <w:rsid w:val="00E87A9E"/>
    <w:rsid w:val="00E97540"/>
    <w:rsid w:val="00EA098B"/>
    <w:rsid w:val="00EA398E"/>
    <w:rsid w:val="00EA4BF5"/>
    <w:rsid w:val="00EB2837"/>
    <w:rsid w:val="00EC500F"/>
    <w:rsid w:val="00ED7F0A"/>
    <w:rsid w:val="00EE678E"/>
    <w:rsid w:val="00EF033C"/>
    <w:rsid w:val="00EF4841"/>
    <w:rsid w:val="00EF5141"/>
    <w:rsid w:val="00EF722F"/>
    <w:rsid w:val="00F06554"/>
    <w:rsid w:val="00F1540F"/>
    <w:rsid w:val="00F247E2"/>
    <w:rsid w:val="00F32C5D"/>
    <w:rsid w:val="00F3503D"/>
    <w:rsid w:val="00F36061"/>
    <w:rsid w:val="00F4447B"/>
    <w:rsid w:val="00F4758D"/>
    <w:rsid w:val="00F47D9A"/>
    <w:rsid w:val="00F51025"/>
    <w:rsid w:val="00F52A0A"/>
    <w:rsid w:val="00F62B60"/>
    <w:rsid w:val="00F64795"/>
    <w:rsid w:val="00F703E0"/>
    <w:rsid w:val="00F81A98"/>
    <w:rsid w:val="00F91C0E"/>
    <w:rsid w:val="00F9455F"/>
    <w:rsid w:val="00FB2EDF"/>
    <w:rsid w:val="00FB3272"/>
    <w:rsid w:val="00FD4BB6"/>
    <w:rsid w:val="00FD6320"/>
    <w:rsid w:val="00FD71E0"/>
    <w:rsid w:val="00FE3768"/>
    <w:rsid w:val="00FE3A3D"/>
    <w:rsid w:val="00FF61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0AE78"/>
  <w15:chartTrackingRefBased/>
  <w15:docId w15:val="{547E4A38-FC11-475C-8940-542D5CF5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2BB"/>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210749"/>
    <w:pPr>
      <w:keepNext/>
      <w:spacing w:before="240"/>
      <w:outlineLvl w:val="0"/>
    </w:pPr>
    <w:rPr>
      <w:rFonts w:asciiTheme="majorHAnsi" w:eastAsiaTheme="majorEastAsia" w:hAnsiTheme="majorHAnsi" w:cstheme="majorBidi"/>
      <w:sz w:val="48"/>
      <w:szCs w:val="48"/>
    </w:rPr>
  </w:style>
  <w:style w:type="paragraph" w:styleId="Heading2">
    <w:name w:val="heading 2"/>
    <w:basedOn w:val="Normal"/>
    <w:next w:val="Normal"/>
    <w:link w:val="Heading2Char"/>
    <w:uiPriority w:val="9"/>
    <w:unhideWhenUsed/>
    <w:qFormat/>
    <w:rsid w:val="00210749"/>
    <w:pPr>
      <w:keepNext/>
      <w:spacing w:before="40"/>
      <w:outlineLvl w:val="1"/>
    </w:pPr>
    <w:rPr>
      <w:rFonts w:ascii="Segoe UI" w:eastAsiaTheme="majorEastAsia" w:hAnsi="Segoe UI" w:cs="Segoe UI"/>
      <w:b/>
      <w:color w:val="5B315E" w:themeColor="accent2"/>
      <w:sz w:val="32"/>
      <w:szCs w:val="32"/>
    </w:rPr>
  </w:style>
  <w:style w:type="paragraph" w:styleId="Heading3">
    <w:name w:val="heading 3"/>
    <w:basedOn w:val="Normal"/>
    <w:next w:val="Normal"/>
    <w:link w:val="Heading3Char"/>
    <w:uiPriority w:val="9"/>
    <w:unhideWhenUsed/>
    <w:qFormat/>
    <w:rsid w:val="00210749"/>
    <w:pPr>
      <w:keepNext/>
      <w:spacing w:before="40"/>
      <w:outlineLvl w:val="2"/>
    </w:pPr>
    <w:rPr>
      <w:rFonts w:ascii="Segoe UI Semibold" w:eastAsiaTheme="majorEastAsia" w:hAnsi="Segoe UI Semibold" w:cs="Segoe UI Semibold"/>
      <w:szCs w:val="24"/>
    </w:rPr>
  </w:style>
  <w:style w:type="paragraph" w:styleId="Heading4">
    <w:name w:val="heading 4"/>
    <w:basedOn w:val="Normal"/>
    <w:next w:val="Normal"/>
    <w:link w:val="Heading4Char"/>
    <w:uiPriority w:val="9"/>
    <w:unhideWhenUsed/>
    <w:qFormat/>
    <w:rsid w:val="00210749"/>
    <w:pPr>
      <w:keepNext/>
      <w:spacing w:before="40"/>
      <w:outlineLvl w:val="3"/>
    </w:pPr>
    <w:rPr>
      <w:rFonts w:asciiTheme="majorHAnsi" w:eastAsiaTheme="majorEastAsia" w:hAnsiTheme="majorHAnsi" w:cstheme="majorBidi"/>
      <w:iCs/>
      <w:color w:val="54575A" w:themeColor="text2"/>
    </w:rPr>
  </w:style>
  <w:style w:type="paragraph" w:styleId="Heading5">
    <w:name w:val="heading 5"/>
    <w:basedOn w:val="Normal"/>
    <w:next w:val="Normal"/>
    <w:link w:val="Heading5Char"/>
    <w:uiPriority w:val="9"/>
    <w:unhideWhenUsed/>
    <w:qFormat/>
    <w:rsid w:val="00210749"/>
    <w:pPr>
      <w:keepNext/>
      <w:spacing w:before="40"/>
      <w:outlineLvl w:val="4"/>
    </w:pPr>
    <w:rPr>
      <w:rFonts w:asciiTheme="majorHAnsi" w:eastAsiaTheme="majorEastAsia" w:hAnsiTheme="majorHAnsi" w:cstheme="majorBidi"/>
      <w:color w:val="9F004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749"/>
    <w:pPr>
      <w:tabs>
        <w:tab w:val="center" w:pos="4680"/>
        <w:tab w:val="right" w:pos="9360"/>
      </w:tabs>
    </w:pPr>
  </w:style>
  <w:style w:type="character" w:customStyle="1" w:styleId="HeaderChar">
    <w:name w:val="Header Char"/>
    <w:basedOn w:val="DefaultParagraphFont"/>
    <w:link w:val="Header"/>
    <w:uiPriority w:val="99"/>
    <w:rsid w:val="00210749"/>
    <w:rPr>
      <w:color w:val="54575A" w:themeColor="text1"/>
      <w:lang w:val="fr-CA"/>
    </w:rPr>
  </w:style>
  <w:style w:type="paragraph" w:styleId="Footer">
    <w:name w:val="footer"/>
    <w:basedOn w:val="Normal"/>
    <w:link w:val="FooterChar"/>
    <w:uiPriority w:val="99"/>
    <w:unhideWhenUsed/>
    <w:rsid w:val="00210749"/>
    <w:pPr>
      <w:tabs>
        <w:tab w:val="center" w:pos="4680"/>
        <w:tab w:val="right" w:pos="9360"/>
      </w:tabs>
    </w:pPr>
  </w:style>
  <w:style w:type="character" w:customStyle="1" w:styleId="FooterChar">
    <w:name w:val="Footer Char"/>
    <w:basedOn w:val="DefaultParagraphFont"/>
    <w:link w:val="Footer"/>
    <w:uiPriority w:val="99"/>
    <w:rsid w:val="00210749"/>
    <w:rPr>
      <w:color w:val="54575A" w:themeColor="text1"/>
      <w:lang w:val="fr-CA"/>
    </w:rPr>
  </w:style>
  <w:style w:type="paragraph" w:styleId="BalloonText">
    <w:name w:val="Balloon Text"/>
    <w:basedOn w:val="Normal"/>
    <w:link w:val="BalloonTextChar"/>
    <w:uiPriority w:val="99"/>
    <w:semiHidden/>
    <w:unhideWhenUsed/>
    <w:rsid w:val="002107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749"/>
    <w:rPr>
      <w:rFonts w:ascii="Segoe UI" w:hAnsi="Segoe UI" w:cs="Segoe UI"/>
      <w:color w:val="54575A" w:themeColor="text1"/>
      <w:sz w:val="18"/>
      <w:szCs w:val="18"/>
      <w:lang w:val="fr-CA"/>
    </w:rPr>
  </w:style>
  <w:style w:type="paragraph" w:customStyle="1" w:styleId="ColumnTitle">
    <w:name w:val="Column Title"/>
    <w:basedOn w:val="Normal"/>
    <w:qFormat/>
    <w:rsid w:val="00210749"/>
    <w:rPr>
      <w:rFonts w:ascii="Segoe UI Semibold" w:hAnsi="Segoe UI Semibold" w:cs="Segoe UI Semibold"/>
      <w:color w:val="F2F2F2" w:themeColor="background2"/>
      <w:szCs w:val="24"/>
    </w:rPr>
  </w:style>
  <w:style w:type="paragraph" w:customStyle="1" w:styleId="DataText">
    <w:name w:val="Data Text"/>
    <w:basedOn w:val="Normal"/>
    <w:qFormat/>
    <w:rsid w:val="00210749"/>
  </w:style>
  <w:style w:type="character" w:styleId="FootnoteReference">
    <w:name w:val="footnote reference"/>
    <w:basedOn w:val="DefaultParagraphFont"/>
    <w:uiPriority w:val="99"/>
    <w:semiHidden/>
    <w:unhideWhenUsed/>
    <w:rsid w:val="00210749"/>
    <w:rPr>
      <w:vertAlign w:val="superscript"/>
    </w:rPr>
  </w:style>
  <w:style w:type="paragraph" w:styleId="FootnoteText">
    <w:name w:val="footnote text"/>
    <w:basedOn w:val="Normal"/>
    <w:link w:val="FootnoteTextChar"/>
    <w:uiPriority w:val="99"/>
    <w:unhideWhenUsed/>
    <w:rsid w:val="00210749"/>
    <w:rPr>
      <w:sz w:val="20"/>
    </w:rPr>
  </w:style>
  <w:style w:type="character" w:customStyle="1" w:styleId="FootnoteTextChar">
    <w:name w:val="Footnote Text Char"/>
    <w:basedOn w:val="DefaultParagraphFont"/>
    <w:link w:val="FootnoteText"/>
    <w:uiPriority w:val="99"/>
    <w:rsid w:val="00210749"/>
    <w:rPr>
      <w:color w:val="54575A" w:themeColor="text1"/>
      <w:sz w:val="20"/>
      <w:szCs w:val="20"/>
      <w:lang w:val="fr-CA"/>
    </w:rPr>
  </w:style>
  <w:style w:type="character" w:customStyle="1" w:styleId="Heading1Char">
    <w:name w:val="Heading 1 Char"/>
    <w:basedOn w:val="DefaultParagraphFont"/>
    <w:link w:val="Heading1"/>
    <w:uiPriority w:val="9"/>
    <w:rsid w:val="00210749"/>
    <w:rPr>
      <w:rFonts w:asciiTheme="majorHAnsi" w:eastAsiaTheme="majorEastAsia" w:hAnsiTheme="majorHAnsi" w:cstheme="majorBidi"/>
      <w:color w:val="54575A" w:themeColor="text1"/>
      <w:sz w:val="48"/>
      <w:szCs w:val="48"/>
      <w:lang w:val="fr-CA"/>
    </w:rPr>
  </w:style>
  <w:style w:type="character" w:customStyle="1" w:styleId="Heading2Char">
    <w:name w:val="Heading 2 Char"/>
    <w:basedOn w:val="DefaultParagraphFont"/>
    <w:link w:val="Heading2"/>
    <w:uiPriority w:val="9"/>
    <w:rsid w:val="00210749"/>
    <w:rPr>
      <w:rFonts w:ascii="Segoe UI" w:eastAsiaTheme="majorEastAsia" w:hAnsi="Segoe UI" w:cs="Segoe UI"/>
      <w:b/>
      <w:color w:val="5B315E" w:themeColor="accent2"/>
      <w:sz w:val="32"/>
      <w:szCs w:val="32"/>
      <w:lang w:val="fr-CA"/>
    </w:rPr>
  </w:style>
  <w:style w:type="character" w:customStyle="1" w:styleId="Heading3Char">
    <w:name w:val="Heading 3 Char"/>
    <w:basedOn w:val="DefaultParagraphFont"/>
    <w:link w:val="Heading3"/>
    <w:uiPriority w:val="9"/>
    <w:rsid w:val="00210749"/>
    <w:rPr>
      <w:rFonts w:ascii="Segoe UI Semibold" w:eastAsiaTheme="majorEastAsia" w:hAnsi="Segoe UI Semibold" w:cs="Segoe UI Semibold"/>
      <w:color w:val="54575A" w:themeColor="text1"/>
      <w:sz w:val="24"/>
      <w:szCs w:val="24"/>
      <w:lang w:val="fr-CA"/>
    </w:rPr>
  </w:style>
  <w:style w:type="paragraph" w:customStyle="1" w:styleId="Heading3forBox">
    <w:name w:val="Heading 3 for Box"/>
    <w:basedOn w:val="Normal"/>
    <w:qFormat/>
    <w:rsid w:val="00210749"/>
    <w:rPr>
      <w:rFonts w:ascii="Segoe UI Semibold" w:eastAsiaTheme="majorEastAsia" w:hAnsi="Segoe UI Semibold" w:cs="Segoe UI Semibold"/>
      <w:color w:val="FFFFFF" w:themeColor="background1"/>
      <w:szCs w:val="24"/>
    </w:rPr>
  </w:style>
  <w:style w:type="character" w:customStyle="1" w:styleId="Heading4Char">
    <w:name w:val="Heading 4 Char"/>
    <w:basedOn w:val="DefaultParagraphFont"/>
    <w:link w:val="Heading4"/>
    <w:uiPriority w:val="9"/>
    <w:rsid w:val="00210749"/>
    <w:rPr>
      <w:rFonts w:asciiTheme="majorHAnsi" w:eastAsiaTheme="majorEastAsia" w:hAnsiTheme="majorHAnsi" w:cstheme="majorBidi"/>
      <w:iCs/>
      <w:color w:val="54575A" w:themeColor="text2"/>
      <w:lang w:val="fr-CA"/>
    </w:rPr>
  </w:style>
  <w:style w:type="character" w:customStyle="1" w:styleId="Heading5Char">
    <w:name w:val="Heading 5 Char"/>
    <w:basedOn w:val="DefaultParagraphFont"/>
    <w:link w:val="Heading5"/>
    <w:uiPriority w:val="9"/>
    <w:rsid w:val="00210749"/>
    <w:rPr>
      <w:rFonts w:asciiTheme="majorHAnsi" w:eastAsiaTheme="majorEastAsia" w:hAnsiTheme="majorHAnsi" w:cstheme="majorBidi"/>
      <w:color w:val="9F0040" w:themeColor="accent1" w:themeShade="BF"/>
      <w:lang w:val="fr-CA"/>
    </w:rPr>
  </w:style>
  <w:style w:type="paragraph" w:styleId="ListParagraph">
    <w:name w:val="List Paragraph"/>
    <w:aliases w:val="table bullets,Paragraphe de liste1,Dot pt,Liste 1,F5 List Paragraph,List Paragraph Char Char Char,Indicator Text,Numbered Para 1,Bullet 1,Bullet Points,List Paragraph2,MAIN CONTENT,Normal numbered,List Paragraph1,No Spacing1,L,3"/>
    <w:basedOn w:val="Normal"/>
    <w:link w:val="ListParagraphChar"/>
    <w:uiPriority w:val="34"/>
    <w:qFormat/>
    <w:rsid w:val="00210749"/>
    <w:pPr>
      <w:spacing w:after="320"/>
      <w:contextualSpacing/>
    </w:pPr>
  </w:style>
  <w:style w:type="paragraph" w:customStyle="1" w:styleId="NormalWhiteforBox">
    <w:name w:val="Normal White for Box"/>
    <w:basedOn w:val="Normal"/>
    <w:qFormat/>
    <w:rsid w:val="00210749"/>
  </w:style>
  <w:style w:type="paragraph" w:customStyle="1" w:styleId="Numberedlist">
    <w:name w:val="Numbered list"/>
    <w:basedOn w:val="ListParagraph"/>
    <w:qFormat/>
    <w:rsid w:val="00210749"/>
  </w:style>
  <w:style w:type="paragraph" w:styleId="Subtitle">
    <w:name w:val="Subtitle"/>
    <w:basedOn w:val="Normal"/>
    <w:next w:val="Normal"/>
    <w:link w:val="SubtitleChar"/>
    <w:uiPriority w:val="11"/>
    <w:qFormat/>
    <w:rsid w:val="00210749"/>
    <w:rPr>
      <w:rFonts w:ascii="Segoe UI Light" w:hAnsi="Segoe UI Light" w:cs="Segoe UI Light"/>
      <w:sz w:val="36"/>
      <w:szCs w:val="36"/>
    </w:rPr>
  </w:style>
  <w:style w:type="character" w:customStyle="1" w:styleId="SubtitleChar">
    <w:name w:val="Subtitle Char"/>
    <w:basedOn w:val="DefaultParagraphFont"/>
    <w:link w:val="Subtitle"/>
    <w:uiPriority w:val="11"/>
    <w:rsid w:val="00210749"/>
    <w:rPr>
      <w:rFonts w:ascii="Segoe UI Light" w:hAnsi="Segoe UI Light" w:cs="Segoe UI Light"/>
      <w:color w:val="54575A" w:themeColor="text1"/>
      <w:sz w:val="36"/>
      <w:szCs w:val="36"/>
      <w:lang w:val="fr-CA"/>
    </w:rPr>
  </w:style>
  <w:style w:type="table" w:styleId="TableGrid">
    <w:name w:val="Table Grid"/>
    <w:basedOn w:val="TableNormal"/>
    <w:uiPriority w:val="39"/>
    <w:rsid w:val="0021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qFormat/>
    <w:rsid w:val="00210749"/>
    <w:rPr>
      <w:rFonts w:ascii="Segoe UI Semibold" w:hAnsi="Segoe UI Semibold"/>
      <w:b w:val="0"/>
      <w:color w:val="54575A" w:themeColor="text1"/>
    </w:rPr>
  </w:style>
  <w:style w:type="paragraph" w:styleId="Title">
    <w:name w:val="Title"/>
    <w:basedOn w:val="Normal"/>
    <w:next w:val="Normal"/>
    <w:link w:val="TitleChar"/>
    <w:autoRedefine/>
    <w:uiPriority w:val="10"/>
    <w:qFormat/>
    <w:rsid w:val="00260B6E"/>
    <w:pPr>
      <w:spacing w:after="240"/>
      <w:contextualSpacing/>
      <w:jc w:val="center"/>
    </w:pPr>
    <w:rPr>
      <w:rFonts w:asciiTheme="majorHAnsi" w:eastAsiaTheme="majorEastAsia" w:hAnsiTheme="majorHAnsi" w:cstheme="majorHAnsi"/>
      <w:spacing w:val="-10"/>
      <w:kern w:val="28"/>
      <w:sz w:val="48"/>
      <w:szCs w:val="48"/>
      <w:lang w:val="en-CA"/>
    </w:rPr>
  </w:style>
  <w:style w:type="character" w:customStyle="1" w:styleId="TitleChar">
    <w:name w:val="Title Char"/>
    <w:basedOn w:val="DefaultParagraphFont"/>
    <w:link w:val="Title"/>
    <w:uiPriority w:val="10"/>
    <w:rsid w:val="00260B6E"/>
    <w:rPr>
      <w:rFonts w:asciiTheme="majorHAnsi" w:eastAsiaTheme="majorEastAsia" w:hAnsiTheme="majorHAnsi" w:cstheme="majorHAnsi"/>
      <w:spacing w:val="-10"/>
      <w:kern w:val="28"/>
      <w:sz w:val="48"/>
      <w:szCs w:val="48"/>
    </w:rPr>
  </w:style>
  <w:style w:type="paragraph" w:customStyle="1" w:styleId="Style2">
    <w:name w:val="Style2"/>
    <w:basedOn w:val="Normal"/>
    <w:link w:val="Style2Char"/>
    <w:qFormat/>
    <w:rsid w:val="007378D3"/>
    <w:pPr>
      <w:shd w:val="clear" w:color="auto" w:fill="F2F2F2"/>
    </w:pPr>
    <w:rPr>
      <w:rFonts w:ascii="Arial" w:hAnsi="Arial" w:cs="Arial"/>
      <w:b/>
      <w:color w:val="009999"/>
      <w:spacing w:val="-10"/>
      <w:lang w:val="en-CA"/>
    </w:rPr>
  </w:style>
  <w:style w:type="character" w:customStyle="1" w:styleId="Style2Char">
    <w:name w:val="Style2 Char"/>
    <w:basedOn w:val="DefaultParagraphFont"/>
    <w:link w:val="Style2"/>
    <w:rsid w:val="007378D3"/>
    <w:rPr>
      <w:rFonts w:ascii="Arial" w:eastAsia="Times New Roman" w:hAnsi="Arial" w:cs="Arial"/>
      <w:b/>
      <w:color w:val="009999"/>
      <w:spacing w:val="-10"/>
      <w:shd w:val="clear" w:color="auto" w:fill="F2F2F2"/>
    </w:rPr>
  </w:style>
  <w:style w:type="paragraph" w:customStyle="1" w:styleId="Style4">
    <w:name w:val="Style4"/>
    <w:basedOn w:val="Normal"/>
    <w:link w:val="Style4Char"/>
    <w:qFormat/>
    <w:rsid w:val="007378D3"/>
    <w:rPr>
      <w:rFonts w:ascii="Arial" w:hAnsi="Arial" w:cs="Arial"/>
      <w:u w:val="single"/>
      <w:lang w:val="en-CA" w:eastAsia="en-CA"/>
    </w:rPr>
  </w:style>
  <w:style w:type="character" w:customStyle="1" w:styleId="Style4Char">
    <w:name w:val="Style4 Char"/>
    <w:basedOn w:val="DefaultParagraphFont"/>
    <w:link w:val="Style4"/>
    <w:rsid w:val="007378D3"/>
    <w:rPr>
      <w:rFonts w:ascii="Arial" w:eastAsia="Times New Roman" w:hAnsi="Arial" w:cs="Arial"/>
      <w:u w:val="single"/>
      <w:lang w:eastAsia="en-CA"/>
    </w:rPr>
  </w:style>
  <w:style w:type="paragraph" w:styleId="NormalWeb">
    <w:name w:val="Normal (Web)"/>
    <w:basedOn w:val="Normal"/>
    <w:uiPriority w:val="99"/>
    <w:unhideWhenUsed/>
    <w:rsid w:val="007378D3"/>
    <w:pPr>
      <w:spacing w:before="100" w:beforeAutospacing="1" w:after="100" w:afterAutospacing="1"/>
    </w:pPr>
    <w:rPr>
      <w:rFonts w:ascii="Verdana" w:hAnsi="Verdana"/>
      <w:szCs w:val="24"/>
    </w:rPr>
  </w:style>
  <w:style w:type="paragraph" w:customStyle="1" w:styleId="Level1">
    <w:name w:val="Level 1"/>
    <w:basedOn w:val="Normal"/>
    <w:uiPriority w:val="99"/>
    <w:rsid w:val="007378D3"/>
    <w:pPr>
      <w:widowControl w:val="0"/>
    </w:pPr>
  </w:style>
  <w:style w:type="character" w:styleId="Hyperlink">
    <w:name w:val="Hyperlink"/>
    <w:uiPriority w:val="99"/>
    <w:unhideWhenUsed/>
    <w:rsid w:val="007378D3"/>
    <w:rPr>
      <w:color w:val="0563C1"/>
      <w:u w:val="single"/>
    </w:rPr>
  </w:style>
  <w:style w:type="paragraph" w:styleId="NoSpacing">
    <w:name w:val="No Spacing"/>
    <w:uiPriority w:val="1"/>
    <w:qFormat/>
    <w:rsid w:val="007378D3"/>
    <w:pPr>
      <w:spacing w:after="0" w:line="240" w:lineRule="auto"/>
    </w:pPr>
    <w:rPr>
      <w:rFonts w:ascii="Times New Roman" w:eastAsia="Times New Roman" w:hAnsi="Times New Roman" w:cs="Times New Roman"/>
      <w:sz w:val="24"/>
      <w:szCs w:val="20"/>
      <w:lang w:val="en-US"/>
    </w:rPr>
  </w:style>
  <w:style w:type="paragraph" w:customStyle="1" w:styleId="Style1">
    <w:name w:val="Style1"/>
    <w:basedOn w:val="Normal"/>
    <w:link w:val="Style1Char"/>
    <w:qFormat/>
    <w:rsid w:val="007378D3"/>
    <w:pPr>
      <w:pBdr>
        <w:bottom w:val="single" w:sz="4" w:space="1" w:color="92D050"/>
      </w:pBdr>
      <w:autoSpaceDE w:val="0"/>
      <w:autoSpaceDN w:val="0"/>
      <w:adjustRightInd w:val="0"/>
      <w:ind w:right="50"/>
    </w:pPr>
    <w:rPr>
      <w:rFonts w:ascii="Arial" w:hAnsi="Arial" w:cs="Arial"/>
      <w:b/>
      <w:caps/>
      <w:color w:val="92D050"/>
      <w:lang w:val="en-CA"/>
    </w:rPr>
  </w:style>
  <w:style w:type="character" w:customStyle="1" w:styleId="Style1Char">
    <w:name w:val="Style1 Char"/>
    <w:basedOn w:val="DefaultParagraphFont"/>
    <w:link w:val="Style1"/>
    <w:rsid w:val="007378D3"/>
    <w:rPr>
      <w:rFonts w:ascii="Arial" w:eastAsia="Times New Roman" w:hAnsi="Arial" w:cs="Arial"/>
      <w:b/>
      <w:caps/>
      <w:color w:val="92D050"/>
    </w:rPr>
  </w:style>
  <w:style w:type="paragraph" w:customStyle="1" w:styleId="Style6">
    <w:name w:val="Style6"/>
    <w:basedOn w:val="Normal"/>
    <w:link w:val="Style6Char"/>
    <w:qFormat/>
    <w:rsid w:val="007378D3"/>
    <w:pPr>
      <w:jc w:val="center"/>
    </w:pPr>
    <w:rPr>
      <w:rFonts w:ascii="Arial" w:hAnsi="Arial" w:cs="Arial"/>
      <w:b/>
      <w:color w:val="009999"/>
      <w:szCs w:val="24"/>
    </w:rPr>
  </w:style>
  <w:style w:type="paragraph" w:customStyle="1" w:styleId="Style7">
    <w:name w:val="Style7"/>
    <w:basedOn w:val="Normal"/>
    <w:link w:val="Style7Char"/>
    <w:qFormat/>
    <w:rsid w:val="007378D3"/>
    <w:pPr>
      <w:jc w:val="center"/>
    </w:pPr>
    <w:rPr>
      <w:rFonts w:ascii="Arial" w:hAnsi="Arial" w:cs="Arial"/>
      <w:color w:val="009999"/>
      <w:szCs w:val="32"/>
    </w:rPr>
  </w:style>
  <w:style w:type="character" w:customStyle="1" w:styleId="Style6Char">
    <w:name w:val="Style6 Char"/>
    <w:basedOn w:val="DefaultParagraphFont"/>
    <w:link w:val="Style6"/>
    <w:rsid w:val="007378D3"/>
    <w:rPr>
      <w:rFonts w:ascii="Arial" w:eastAsia="Times New Roman" w:hAnsi="Arial" w:cs="Arial"/>
      <w:b/>
      <w:color w:val="009999"/>
      <w:sz w:val="24"/>
      <w:szCs w:val="24"/>
      <w:lang w:val="en-US"/>
    </w:rPr>
  </w:style>
  <w:style w:type="paragraph" w:customStyle="1" w:styleId="Style8">
    <w:name w:val="Style8"/>
    <w:basedOn w:val="Normal"/>
    <w:link w:val="Style8Char"/>
    <w:qFormat/>
    <w:rsid w:val="007378D3"/>
    <w:rPr>
      <w:rFonts w:ascii="Arial" w:hAnsi="Arial" w:cs="Arial"/>
      <w:color w:val="767171"/>
      <w:sz w:val="16"/>
      <w:lang w:val="en-CA"/>
    </w:rPr>
  </w:style>
  <w:style w:type="character" w:customStyle="1" w:styleId="Style7Char">
    <w:name w:val="Style7 Char"/>
    <w:basedOn w:val="DefaultParagraphFont"/>
    <w:link w:val="Style7"/>
    <w:rsid w:val="007378D3"/>
    <w:rPr>
      <w:rFonts w:ascii="Arial" w:eastAsia="Times New Roman" w:hAnsi="Arial" w:cs="Arial"/>
      <w:color w:val="009999"/>
      <w:szCs w:val="32"/>
      <w:lang w:val="en-US"/>
    </w:rPr>
  </w:style>
  <w:style w:type="paragraph" w:customStyle="1" w:styleId="Style9">
    <w:name w:val="Style9"/>
    <w:basedOn w:val="Normal"/>
    <w:link w:val="Style9Char"/>
    <w:qFormat/>
    <w:rsid w:val="007378D3"/>
    <w:rPr>
      <w:rFonts w:ascii="Arial" w:hAnsi="Arial" w:cs="Arial"/>
      <w:b/>
      <w:color w:val="009999"/>
      <w:spacing w:val="-10"/>
      <w:lang w:val="en-CA"/>
    </w:rPr>
  </w:style>
  <w:style w:type="character" w:customStyle="1" w:styleId="Style8Char">
    <w:name w:val="Style8 Char"/>
    <w:basedOn w:val="DefaultParagraphFont"/>
    <w:link w:val="Style8"/>
    <w:rsid w:val="007378D3"/>
    <w:rPr>
      <w:rFonts w:ascii="Arial" w:eastAsia="Times New Roman" w:hAnsi="Arial" w:cs="Arial"/>
      <w:color w:val="767171"/>
      <w:sz w:val="16"/>
    </w:rPr>
  </w:style>
  <w:style w:type="character" w:customStyle="1" w:styleId="Style9Char">
    <w:name w:val="Style9 Char"/>
    <w:basedOn w:val="DefaultParagraphFont"/>
    <w:link w:val="Style9"/>
    <w:rsid w:val="007378D3"/>
    <w:rPr>
      <w:rFonts w:ascii="Arial" w:eastAsia="Times New Roman" w:hAnsi="Arial" w:cs="Arial"/>
      <w:b/>
      <w:color w:val="009999"/>
      <w:spacing w:val="-10"/>
    </w:rPr>
  </w:style>
  <w:style w:type="character" w:styleId="FollowedHyperlink">
    <w:name w:val="FollowedHyperlink"/>
    <w:basedOn w:val="DefaultParagraphFont"/>
    <w:uiPriority w:val="99"/>
    <w:semiHidden/>
    <w:unhideWhenUsed/>
    <w:rsid w:val="002D653E"/>
    <w:rPr>
      <w:color w:val="A5A5A5" w:themeColor="followedHyperlink"/>
      <w:u w:val="single"/>
    </w:rPr>
  </w:style>
  <w:style w:type="character" w:styleId="Strong">
    <w:name w:val="Strong"/>
    <w:basedOn w:val="DefaultParagraphFont"/>
    <w:uiPriority w:val="22"/>
    <w:qFormat/>
    <w:rsid w:val="00B7094B"/>
    <w:rPr>
      <w:rFonts w:asciiTheme="minorHAnsi" w:hAnsiTheme="minorHAnsi"/>
      <w:b/>
      <w:bCs/>
      <w:sz w:val="22"/>
    </w:rPr>
  </w:style>
  <w:style w:type="table" w:customStyle="1" w:styleId="Grilledutableau1">
    <w:name w:val="Grille du tableau1"/>
    <w:basedOn w:val="TableNormal"/>
    <w:next w:val="TableGrid"/>
    <w:uiPriority w:val="39"/>
    <w:rsid w:val="000A6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4841"/>
    <w:rPr>
      <w:sz w:val="16"/>
      <w:szCs w:val="16"/>
    </w:rPr>
  </w:style>
  <w:style w:type="paragraph" w:styleId="CommentText">
    <w:name w:val="annotation text"/>
    <w:basedOn w:val="Normal"/>
    <w:link w:val="CommentTextChar"/>
    <w:uiPriority w:val="99"/>
    <w:semiHidden/>
    <w:unhideWhenUsed/>
    <w:rsid w:val="00EF4841"/>
    <w:rPr>
      <w:sz w:val="20"/>
    </w:rPr>
  </w:style>
  <w:style w:type="character" w:customStyle="1" w:styleId="CommentTextChar">
    <w:name w:val="Comment Text Char"/>
    <w:basedOn w:val="DefaultParagraphFont"/>
    <w:link w:val="CommentText"/>
    <w:uiPriority w:val="99"/>
    <w:semiHidden/>
    <w:rsid w:val="00EF484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F4841"/>
    <w:rPr>
      <w:b/>
      <w:bCs/>
    </w:rPr>
  </w:style>
  <w:style w:type="character" w:customStyle="1" w:styleId="CommentSubjectChar">
    <w:name w:val="Comment Subject Char"/>
    <w:basedOn w:val="CommentTextChar"/>
    <w:link w:val="CommentSubject"/>
    <w:uiPriority w:val="99"/>
    <w:semiHidden/>
    <w:rsid w:val="00EF4841"/>
    <w:rPr>
      <w:rFonts w:ascii="Times New Roman" w:eastAsia="Times New Roman" w:hAnsi="Times New Roman" w:cs="Times New Roman"/>
      <w:b/>
      <w:bCs/>
      <w:sz w:val="20"/>
      <w:szCs w:val="20"/>
      <w:lang w:val="en-US"/>
    </w:rPr>
  </w:style>
  <w:style w:type="character" w:styleId="Emphasis">
    <w:name w:val="Emphasis"/>
    <w:basedOn w:val="DefaultParagraphFont"/>
    <w:uiPriority w:val="20"/>
    <w:qFormat/>
    <w:rsid w:val="00410C47"/>
    <w:rPr>
      <w:i/>
      <w:iCs/>
    </w:rPr>
  </w:style>
  <w:style w:type="paragraph" w:styleId="Caption">
    <w:name w:val="caption"/>
    <w:basedOn w:val="Normal"/>
    <w:next w:val="Normal"/>
    <w:uiPriority w:val="35"/>
    <w:unhideWhenUsed/>
    <w:qFormat/>
    <w:rsid w:val="003C62D6"/>
    <w:pPr>
      <w:spacing w:after="200"/>
    </w:pPr>
    <w:rPr>
      <w:i/>
      <w:iCs/>
      <w:color w:val="54575A" w:themeColor="text2"/>
      <w:sz w:val="18"/>
      <w:szCs w:val="18"/>
    </w:rPr>
  </w:style>
  <w:style w:type="character" w:customStyle="1" w:styleId="mw-headline">
    <w:name w:val="mw-headline"/>
    <w:rsid w:val="007A50D1"/>
  </w:style>
  <w:style w:type="table" w:styleId="PlainTable1">
    <w:name w:val="Plain Table 1"/>
    <w:basedOn w:val="TableNormal"/>
    <w:uiPriority w:val="41"/>
    <w:rsid w:val="00F06554"/>
    <w:pPr>
      <w:spacing w:after="0" w:line="240" w:lineRule="auto"/>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F06554"/>
    <w:pPr>
      <w:spacing w:after="0" w:line="240" w:lineRule="auto"/>
    </w:pPr>
    <w:rPr>
      <w:rFonts w:ascii="Arial" w:hAnsi="Arial"/>
    </w:rPr>
  </w:style>
  <w:style w:type="paragraph" w:styleId="HTMLPreformatted">
    <w:name w:val="HTML Preformatted"/>
    <w:basedOn w:val="Normal"/>
    <w:link w:val="HTMLPreformattedChar"/>
    <w:uiPriority w:val="99"/>
    <w:unhideWhenUsed/>
    <w:rsid w:val="008A1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8A1C07"/>
    <w:rPr>
      <w:rFonts w:ascii="Courier New" w:eastAsia="Times New Roman" w:hAnsi="Courier New" w:cs="Courier New"/>
      <w:sz w:val="20"/>
      <w:szCs w:val="20"/>
      <w:lang w:eastAsia="en-CA"/>
    </w:rPr>
  </w:style>
  <w:style w:type="character" w:customStyle="1" w:styleId="ListParagraphChar">
    <w:name w:val="List Paragraph Char"/>
    <w:aliases w:val="table bullets Char,Paragraphe de liste1 Char,Dot pt Char,Liste 1 Char,F5 List Paragraph Char,List Paragraph Char Char Char Char,Indicator Text Char,Numbered Para 1 Char,Bullet 1 Char,Bullet Points Char,List Paragraph2 Char,L Char"/>
    <w:basedOn w:val="DefaultParagraphFont"/>
    <w:link w:val="ListParagraph"/>
    <w:uiPriority w:val="34"/>
    <w:qFormat/>
    <w:locked/>
    <w:rsid w:val="00D4741E"/>
    <w:rPr>
      <w:rFonts w:ascii="Times New Roman" w:eastAsia="Times New Roman" w:hAnsi="Times New Roman" w:cs="Times New Roman"/>
      <w:sz w:val="24"/>
      <w:szCs w:val="20"/>
      <w:lang w:val="en-US"/>
    </w:rPr>
  </w:style>
  <w:style w:type="paragraph" w:styleId="PlainText">
    <w:name w:val="Plain Text"/>
    <w:basedOn w:val="Normal"/>
    <w:link w:val="PlainTextChar"/>
    <w:uiPriority w:val="99"/>
    <w:semiHidden/>
    <w:unhideWhenUsed/>
    <w:rsid w:val="000D61F6"/>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0D61F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5653">
      <w:bodyDiv w:val="1"/>
      <w:marLeft w:val="0"/>
      <w:marRight w:val="0"/>
      <w:marTop w:val="0"/>
      <w:marBottom w:val="0"/>
      <w:divBdr>
        <w:top w:val="none" w:sz="0" w:space="0" w:color="auto"/>
        <w:left w:val="none" w:sz="0" w:space="0" w:color="auto"/>
        <w:bottom w:val="none" w:sz="0" w:space="0" w:color="auto"/>
        <w:right w:val="none" w:sz="0" w:space="0" w:color="auto"/>
      </w:divBdr>
    </w:div>
    <w:div w:id="148911088">
      <w:bodyDiv w:val="1"/>
      <w:marLeft w:val="0"/>
      <w:marRight w:val="0"/>
      <w:marTop w:val="0"/>
      <w:marBottom w:val="0"/>
      <w:divBdr>
        <w:top w:val="none" w:sz="0" w:space="0" w:color="auto"/>
        <w:left w:val="none" w:sz="0" w:space="0" w:color="auto"/>
        <w:bottom w:val="none" w:sz="0" w:space="0" w:color="auto"/>
        <w:right w:val="none" w:sz="0" w:space="0" w:color="auto"/>
      </w:divBdr>
      <w:divsChild>
        <w:div w:id="1040127541">
          <w:marLeft w:val="0"/>
          <w:marRight w:val="0"/>
          <w:marTop w:val="0"/>
          <w:marBottom w:val="0"/>
          <w:divBdr>
            <w:top w:val="none" w:sz="0" w:space="0" w:color="auto"/>
            <w:left w:val="none" w:sz="0" w:space="0" w:color="auto"/>
            <w:bottom w:val="none" w:sz="0" w:space="0" w:color="auto"/>
            <w:right w:val="none" w:sz="0" w:space="0" w:color="auto"/>
          </w:divBdr>
          <w:divsChild>
            <w:div w:id="101389505">
              <w:marLeft w:val="0"/>
              <w:marRight w:val="0"/>
              <w:marTop w:val="0"/>
              <w:marBottom w:val="0"/>
              <w:divBdr>
                <w:top w:val="none" w:sz="0" w:space="0" w:color="auto"/>
                <w:left w:val="none" w:sz="0" w:space="0" w:color="auto"/>
                <w:bottom w:val="none" w:sz="0" w:space="0" w:color="auto"/>
                <w:right w:val="none" w:sz="0" w:space="0" w:color="auto"/>
              </w:divBdr>
              <w:divsChild>
                <w:div w:id="817889610">
                  <w:marLeft w:val="0"/>
                  <w:marRight w:val="0"/>
                  <w:marTop w:val="0"/>
                  <w:marBottom w:val="0"/>
                  <w:divBdr>
                    <w:top w:val="none" w:sz="0" w:space="0" w:color="auto"/>
                    <w:left w:val="none" w:sz="0" w:space="0" w:color="auto"/>
                    <w:bottom w:val="none" w:sz="0" w:space="0" w:color="auto"/>
                    <w:right w:val="none" w:sz="0" w:space="0" w:color="auto"/>
                  </w:divBdr>
                  <w:divsChild>
                    <w:div w:id="1109201255">
                      <w:marLeft w:val="0"/>
                      <w:marRight w:val="0"/>
                      <w:marTop w:val="0"/>
                      <w:marBottom w:val="0"/>
                      <w:divBdr>
                        <w:top w:val="none" w:sz="0" w:space="0" w:color="auto"/>
                        <w:left w:val="none" w:sz="0" w:space="0" w:color="auto"/>
                        <w:bottom w:val="none" w:sz="0" w:space="0" w:color="auto"/>
                        <w:right w:val="none" w:sz="0" w:space="0" w:color="auto"/>
                      </w:divBdr>
                      <w:divsChild>
                        <w:div w:id="935744356">
                          <w:marLeft w:val="0"/>
                          <w:marRight w:val="0"/>
                          <w:marTop w:val="0"/>
                          <w:marBottom w:val="0"/>
                          <w:divBdr>
                            <w:top w:val="none" w:sz="0" w:space="0" w:color="auto"/>
                            <w:left w:val="none" w:sz="0" w:space="0" w:color="auto"/>
                            <w:bottom w:val="none" w:sz="0" w:space="0" w:color="auto"/>
                            <w:right w:val="none" w:sz="0" w:space="0" w:color="auto"/>
                          </w:divBdr>
                          <w:divsChild>
                            <w:div w:id="1528251682">
                              <w:marLeft w:val="2700"/>
                              <w:marRight w:val="3960"/>
                              <w:marTop w:val="0"/>
                              <w:marBottom w:val="0"/>
                              <w:divBdr>
                                <w:top w:val="none" w:sz="0" w:space="0" w:color="auto"/>
                                <w:left w:val="none" w:sz="0" w:space="0" w:color="auto"/>
                                <w:bottom w:val="none" w:sz="0" w:space="0" w:color="auto"/>
                                <w:right w:val="none" w:sz="0" w:space="0" w:color="auto"/>
                              </w:divBdr>
                              <w:divsChild>
                                <w:div w:id="594747593">
                                  <w:marLeft w:val="0"/>
                                  <w:marRight w:val="0"/>
                                  <w:marTop w:val="0"/>
                                  <w:marBottom w:val="0"/>
                                  <w:divBdr>
                                    <w:top w:val="none" w:sz="0" w:space="0" w:color="auto"/>
                                    <w:left w:val="none" w:sz="0" w:space="0" w:color="auto"/>
                                    <w:bottom w:val="none" w:sz="0" w:space="0" w:color="auto"/>
                                    <w:right w:val="none" w:sz="0" w:space="0" w:color="auto"/>
                                  </w:divBdr>
                                  <w:divsChild>
                                    <w:div w:id="983315534">
                                      <w:marLeft w:val="0"/>
                                      <w:marRight w:val="0"/>
                                      <w:marTop w:val="0"/>
                                      <w:marBottom w:val="0"/>
                                      <w:divBdr>
                                        <w:top w:val="none" w:sz="0" w:space="0" w:color="auto"/>
                                        <w:left w:val="none" w:sz="0" w:space="0" w:color="auto"/>
                                        <w:bottom w:val="none" w:sz="0" w:space="0" w:color="auto"/>
                                        <w:right w:val="none" w:sz="0" w:space="0" w:color="auto"/>
                                      </w:divBdr>
                                      <w:divsChild>
                                        <w:div w:id="504589514">
                                          <w:marLeft w:val="0"/>
                                          <w:marRight w:val="0"/>
                                          <w:marTop w:val="0"/>
                                          <w:marBottom w:val="0"/>
                                          <w:divBdr>
                                            <w:top w:val="none" w:sz="0" w:space="0" w:color="auto"/>
                                            <w:left w:val="none" w:sz="0" w:space="0" w:color="auto"/>
                                            <w:bottom w:val="none" w:sz="0" w:space="0" w:color="auto"/>
                                            <w:right w:val="none" w:sz="0" w:space="0" w:color="auto"/>
                                          </w:divBdr>
                                          <w:divsChild>
                                            <w:div w:id="366177128">
                                              <w:marLeft w:val="0"/>
                                              <w:marRight w:val="0"/>
                                              <w:marTop w:val="90"/>
                                              <w:marBottom w:val="0"/>
                                              <w:divBdr>
                                                <w:top w:val="none" w:sz="0" w:space="0" w:color="auto"/>
                                                <w:left w:val="none" w:sz="0" w:space="0" w:color="auto"/>
                                                <w:bottom w:val="none" w:sz="0" w:space="0" w:color="auto"/>
                                                <w:right w:val="none" w:sz="0" w:space="0" w:color="auto"/>
                                              </w:divBdr>
                                              <w:divsChild>
                                                <w:div w:id="462503941">
                                                  <w:marLeft w:val="0"/>
                                                  <w:marRight w:val="0"/>
                                                  <w:marTop w:val="0"/>
                                                  <w:marBottom w:val="420"/>
                                                  <w:divBdr>
                                                    <w:top w:val="none" w:sz="0" w:space="0" w:color="auto"/>
                                                    <w:left w:val="none" w:sz="0" w:space="0" w:color="auto"/>
                                                    <w:bottom w:val="none" w:sz="0" w:space="0" w:color="auto"/>
                                                    <w:right w:val="none" w:sz="0" w:space="0" w:color="auto"/>
                                                  </w:divBdr>
                                                  <w:divsChild>
                                                    <w:div w:id="1087455527">
                                                      <w:marLeft w:val="0"/>
                                                      <w:marRight w:val="0"/>
                                                      <w:marTop w:val="0"/>
                                                      <w:marBottom w:val="0"/>
                                                      <w:divBdr>
                                                        <w:top w:val="none" w:sz="0" w:space="0" w:color="auto"/>
                                                        <w:left w:val="none" w:sz="0" w:space="0" w:color="auto"/>
                                                        <w:bottom w:val="none" w:sz="0" w:space="0" w:color="auto"/>
                                                        <w:right w:val="none" w:sz="0" w:space="0" w:color="auto"/>
                                                      </w:divBdr>
                                                      <w:divsChild>
                                                        <w:div w:id="953440027">
                                                          <w:marLeft w:val="0"/>
                                                          <w:marRight w:val="0"/>
                                                          <w:marTop w:val="0"/>
                                                          <w:marBottom w:val="0"/>
                                                          <w:divBdr>
                                                            <w:top w:val="single" w:sz="6" w:space="0" w:color="DFE1E5"/>
                                                            <w:left w:val="single" w:sz="6" w:space="0" w:color="DFE1E5"/>
                                                            <w:bottom w:val="single" w:sz="6" w:space="0" w:color="DFE1E5"/>
                                                            <w:right w:val="single" w:sz="6" w:space="0" w:color="DFE1E5"/>
                                                          </w:divBdr>
                                                          <w:divsChild>
                                                            <w:div w:id="1909266535">
                                                              <w:marLeft w:val="0"/>
                                                              <w:marRight w:val="0"/>
                                                              <w:marTop w:val="0"/>
                                                              <w:marBottom w:val="0"/>
                                                              <w:divBdr>
                                                                <w:top w:val="none" w:sz="0" w:space="0" w:color="auto"/>
                                                                <w:left w:val="none" w:sz="0" w:space="0" w:color="auto"/>
                                                                <w:bottom w:val="none" w:sz="0" w:space="0" w:color="auto"/>
                                                                <w:right w:val="none" w:sz="0" w:space="0" w:color="auto"/>
                                                              </w:divBdr>
                                                              <w:divsChild>
                                                                <w:div w:id="1874145253">
                                                                  <w:marLeft w:val="0"/>
                                                                  <w:marRight w:val="0"/>
                                                                  <w:marTop w:val="0"/>
                                                                  <w:marBottom w:val="0"/>
                                                                  <w:divBdr>
                                                                    <w:top w:val="none" w:sz="0" w:space="0" w:color="auto"/>
                                                                    <w:left w:val="none" w:sz="0" w:space="0" w:color="auto"/>
                                                                    <w:bottom w:val="none" w:sz="0" w:space="0" w:color="auto"/>
                                                                    <w:right w:val="none" w:sz="0" w:space="0" w:color="auto"/>
                                                                  </w:divBdr>
                                                                  <w:divsChild>
                                                                    <w:div w:id="1449617932">
                                                                      <w:marLeft w:val="0"/>
                                                                      <w:marRight w:val="0"/>
                                                                      <w:marTop w:val="0"/>
                                                                      <w:marBottom w:val="0"/>
                                                                      <w:divBdr>
                                                                        <w:top w:val="none" w:sz="0" w:space="0" w:color="auto"/>
                                                                        <w:left w:val="none" w:sz="0" w:space="0" w:color="auto"/>
                                                                        <w:bottom w:val="none" w:sz="0" w:space="0" w:color="auto"/>
                                                                        <w:right w:val="none" w:sz="0" w:space="0" w:color="auto"/>
                                                                      </w:divBdr>
                                                                      <w:divsChild>
                                                                        <w:div w:id="1888485899">
                                                                          <w:marLeft w:val="0"/>
                                                                          <w:marRight w:val="0"/>
                                                                          <w:marTop w:val="0"/>
                                                                          <w:marBottom w:val="0"/>
                                                                          <w:divBdr>
                                                                            <w:top w:val="none" w:sz="0" w:space="0" w:color="auto"/>
                                                                            <w:left w:val="none" w:sz="0" w:space="0" w:color="auto"/>
                                                                            <w:bottom w:val="none" w:sz="0" w:space="0" w:color="auto"/>
                                                                            <w:right w:val="none" w:sz="0" w:space="0" w:color="auto"/>
                                                                          </w:divBdr>
                                                                          <w:divsChild>
                                                                            <w:div w:id="1508520546">
                                                                              <w:marLeft w:val="0"/>
                                                                              <w:marRight w:val="0"/>
                                                                              <w:marTop w:val="0"/>
                                                                              <w:marBottom w:val="0"/>
                                                                              <w:divBdr>
                                                                                <w:top w:val="none" w:sz="0" w:space="0" w:color="auto"/>
                                                                                <w:left w:val="none" w:sz="0" w:space="0" w:color="auto"/>
                                                                                <w:bottom w:val="none" w:sz="0" w:space="0" w:color="auto"/>
                                                                                <w:right w:val="none" w:sz="0" w:space="0" w:color="auto"/>
                                                                              </w:divBdr>
                                                                              <w:divsChild>
                                                                                <w:div w:id="1573854529">
                                                                                  <w:marLeft w:val="0"/>
                                                                                  <w:marRight w:val="0"/>
                                                                                  <w:marTop w:val="0"/>
                                                                                  <w:marBottom w:val="0"/>
                                                                                  <w:divBdr>
                                                                                    <w:top w:val="none" w:sz="0" w:space="0" w:color="auto"/>
                                                                                    <w:left w:val="none" w:sz="0" w:space="0" w:color="auto"/>
                                                                                    <w:bottom w:val="none" w:sz="0" w:space="0" w:color="auto"/>
                                                                                    <w:right w:val="none" w:sz="0" w:space="0" w:color="auto"/>
                                                                                  </w:divBdr>
                                                                                  <w:divsChild>
                                                                                    <w:div w:id="9427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08804">
      <w:bodyDiv w:val="1"/>
      <w:marLeft w:val="0"/>
      <w:marRight w:val="0"/>
      <w:marTop w:val="0"/>
      <w:marBottom w:val="0"/>
      <w:divBdr>
        <w:top w:val="none" w:sz="0" w:space="0" w:color="auto"/>
        <w:left w:val="none" w:sz="0" w:space="0" w:color="auto"/>
        <w:bottom w:val="none" w:sz="0" w:space="0" w:color="auto"/>
        <w:right w:val="none" w:sz="0" w:space="0" w:color="auto"/>
      </w:divBdr>
    </w:div>
    <w:div w:id="247541559">
      <w:bodyDiv w:val="1"/>
      <w:marLeft w:val="0"/>
      <w:marRight w:val="0"/>
      <w:marTop w:val="0"/>
      <w:marBottom w:val="0"/>
      <w:divBdr>
        <w:top w:val="none" w:sz="0" w:space="0" w:color="auto"/>
        <w:left w:val="none" w:sz="0" w:space="0" w:color="auto"/>
        <w:bottom w:val="none" w:sz="0" w:space="0" w:color="auto"/>
        <w:right w:val="none" w:sz="0" w:space="0" w:color="auto"/>
      </w:divBdr>
    </w:div>
    <w:div w:id="382220837">
      <w:bodyDiv w:val="1"/>
      <w:marLeft w:val="0"/>
      <w:marRight w:val="0"/>
      <w:marTop w:val="0"/>
      <w:marBottom w:val="0"/>
      <w:divBdr>
        <w:top w:val="none" w:sz="0" w:space="0" w:color="auto"/>
        <w:left w:val="none" w:sz="0" w:space="0" w:color="auto"/>
        <w:bottom w:val="none" w:sz="0" w:space="0" w:color="auto"/>
        <w:right w:val="none" w:sz="0" w:space="0" w:color="auto"/>
      </w:divBdr>
    </w:div>
    <w:div w:id="384838879">
      <w:bodyDiv w:val="1"/>
      <w:marLeft w:val="0"/>
      <w:marRight w:val="0"/>
      <w:marTop w:val="0"/>
      <w:marBottom w:val="0"/>
      <w:divBdr>
        <w:top w:val="none" w:sz="0" w:space="0" w:color="auto"/>
        <w:left w:val="none" w:sz="0" w:space="0" w:color="auto"/>
        <w:bottom w:val="none" w:sz="0" w:space="0" w:color="auto"/>
        <w:right w:val="none" w:sz="0" w:space="0" w:color="auto"/>
      </w:divBdr>
    </w:div>
    <w:div w:id="415631369">
      <w:bodyDiv w:val="1"/>
      <w:marLeft w:val="0"/>
      <w:marRight w:val="0"/>
      <w:marTop w:val="0"/>
      <w:marBottom w:val="0"/>
      <w:divBdr>
        <w:top w:val="none" w:sz="0" w:space="0" w:color="auto"/>
        <w:left w:val="none" w:sz="0" w:space="0" w:color="auto"/>
        <w:bottom w:val="none" w:sz="0" w:space="0" w:color="auto"/>
        <w:right w:val="none" w:sz="0" w:space="0" w:color="auto"/>
      </w:divBdr>
      <w:divsChild>
        <w:div w:id="2013487992">
          <w:marLeft w:val="0"/>
          <w:marRight w:val="0"/>
          <w:marTop w:val="0"/>
          <w:marBottom w:val="0"/>
          <w:divBdr>
            <w:top w:val="none" w:sz="0" w:space="0" w:color="auto"/>
            <w:left w:val="none" w:sz="0" w:space="0" w:color="auto"/>
            <w:bottom w:val="none" w:sz="0" w:space="0" w:color="auto"/>
            <w:right w:val="none" w:sz="0" w:space="0" w:color="auto"/>
          </w:divBdr>
          <w:divsChild>
            <w:div w:id="2128770153">
              <w:marLeft w:val="0"/>
              <w:marRight w:val="0"/>
              <w:marTop w:val="0"/>
              <w:marBottom w:val="0"/>
              <w:divBdr>
                <w:top w:val="none" w:sz="0" w:space="0" w:color="auto"/>
                <w:left w:val="none" w:sz="0" w:space="0" w:color="auto"/>
                <w:bottom w:val="none" w:sz="0" w:space="0" w:color="auto"/>
                <w:right w:val="none" w:sz="0" w:space="0" w:color="auto"/>
              </w:divBdr>
              <w:divsChild>
                <w:div w:id="759179557">
                  <w:marLeft w:val="0"/>
                  <w:marRight w:val="0"/>
                  <w:marTop w:val="0"/>
                  <w:marBottom w:val="0"/>
                  <w:divBdr>
                    <w:top w:val="none" w:sz="0" w:space="0" w:color="auto"/>
                    <w:left w:val="none" w:sz="0" w:space="0" w:color="auto"/>
                    <w:bottom w:val="none" w:sz="0" w:space="0" w:color="auto"/>
                    <w:right w:val="none" w:sz="0" w:space="0" w:color="auto"/>
                  </w:divBdr>
                  <w:divsChild>
                    <w:div w:id="392628963">
                      <w:marLeft w:val="0"/>
                      <w:marRight w:val="0"/>
                      <w:marTop w:val="0"/>
                      <w:marBottom w:val="0"/>
                      <w:divBdr>
                        <w:top w:val="none" w:sz="0" w:space="0" w:color="auto"/>
                        <w:left w:val="none" w:sz="0" w:space="0" w:color="auto"/>
                        <w:bottom w:val="none" w:sz="0" w:space="0" w:color="auto"/>
                        <w:right w:val="none" w:sz="0" w:space="0" w:color="auto"/>
                      </w:divBdr>
                      <w:divsChild>
                        <w:div w:id="172041049">
                          <w:marLeft w:val="0"/>
                          <w:marRight w:val="0"/>
                          <w:marTop w:val="0"/>
                          <w:marBottom w:val="0"/>
                          <w:divBdr>
                            <w:top w:val="none" w:sz="0" w:space="0" w:color="auto"/>
                            <w:left w:val="none" w:sz="0" w:space="0" w:color="auto"/>
                            <w:bottom w:val="none" w:sz="0" w:space="0" w:color="auto"/>
                            <w:right w:val="none" w:sz="0" w:space="0" w:color="auto"/>
                          </w:divBdr>
                          <w:divsChild>
                            <w:div w:id="1218511682">
                              <w:marLeft w:val="2700"/>
                              <w:marRight w:val="3960"/>
                              <w:marTop w:val="0"/>
                              <w:marBottom w:val="0"/>
                              <w:divBdr>
                                <w:top w:val="none" w:sz="0" w:space="0" w:color="auto"/>
                                <w:left w:val="none" w:sz="0" w:space="0" w:color="auto"/>
                                <w:bottom w:val="none" w:sz="0" w:space="0" w:color="auto"/>
                                <w:right w:val="none" w:sz="0" w:space="0" w:color="auto"/>
                              </w:divBdr>
                              <w:divsChild>
                                <w:div w:id="1730378876">
                                  <w:marLeft w:val="0"/>
                                  <w:marRight w:val="0"/>
                                  <w:marTop w:val="0"/>
                                  <w:marBottom w:val="0"/>
                                  <w:divBdr>
                                    <w:top w:val="none" w:sz="0" w:space="0" w:color="auto"/>
                                    <w:left w:val="none" w:sz="0" w:space="0" w:color="auto"/>
                                    <w:bottom w:val="none" w:sz="0" w:space="0" w:color="auto"/>
                                    <w:right w:val="none" w:sz="0" w:space="0" w:color="auto"/>
                                  </w:divBdr>
                                  <w:divsChild>
                                    <w:div w:id="1930504431">
                                      <w:marLeft w:val="0"/>
                                      <w:marRight w:val="0"/>
                                      <w:marTop w:val="0"/>
                                      <w:marBottom w:val="0"/>
                                      <w:divBdr>
                                        <w:top w:val="none" w:sz="0" w:space="0" w:color="auto"/>
                                        <w:left w:val="none" w:sz="0" w:space="0" w:color="auto"/>
                                        <w:bottom w:val="none" w:sz="0" w:space="0" w:color="auto"/>
                                        <w:right w:val="none" w:sz="0" w:space="0" w:color="auto"/>
                                      </w:divBdr>
                                      <w:divsChild>
                                        <w:div w:id="1726829874">
                                          <w:marLeft w:val="0"/>
                                          <w:marRight w:val="0"/>
                                          <w:marTop w:val="0"/>
                                          <w:marBottom w:val="0"/>
                                          <w:divBdr>
                                            <w:top w:val="none" w:sz="0" w:space="0" w:color="auto"/>
                                            <w:left w:val="none" w:sz="0" w:space="0" w:color="auto"/>
                                            <w:bottom w:val="none" w:sz="0" w:space="0" w:color="auto"/>
                                            <w:right w:val="none" w:sz="0" w:space="0" w:color="auto"/>
                                          </w:divBdr>
                                          <w:divsChild>
                                            <w:div w:id="437943004">
                                              <w:marLeft w:val="0"/>
                                              <w:marRight w:val="0"/>
                                              <w:marTop w:val="90"/>
                                              <w:marBottom w:val="0"/>
                                              <w:divBdr>
                                                <w:top w:val="none" w:sz="0" w:space="0" w:color="auto"/>
                                                <w:left w:val="none" w:sz="0" w:space="0" w:color="auto"/>
                                                <w:bottom w:val="none" w:sz="0" w:space="0" w:color="auto"/>
                                                <w:right w:val="none" w:sz="0" w:space="0" w:color="auto"/>
                                              </w:divBdr>
                                              <w:divsChild>
                                                <w:div w:id="1222714448">
                                                  <w:marLeft w:val="0"/>
                                                  <w:marRight w:val="0"/>
                                                  <w:marTop w:val="0"/>
                                                  <w:marBottom w:val="420"/>
                                                  <w:divBdr>
                                                    <w:top w:val="none" w:sz="0" w:space="0" w:color="auto"/>
                                                    <w:left w:val="none" w:sz="0" w:space="0" w:color="auto"/>
                                                    <w:bottom w:val="none" w:sz="0" w:space="0" w:color="auto"/>
                                                    <w:right w:val="none" w:sz="0" w:space="0" w:color="auto"/>
                                                  </w:divBdr>
                                                  <w:divsChild>
                                                    <w:div w:id="1336763561">
                                                      <w:marLeft w:val="0"/>
                                                      <w:marRight w:val="0"/>
                                                      <w:marTop w:val="0"/>
                                                      <w:marBottom w:val="0"/>
                                                      <w:divBdr>
                                                        <w:top w:val="none" w:sz="0" w:space="0" w:color="auto"/>
                                                        <w:left w:val="none" w:sz="0" w:space="0" w:color="auto"/>
                                                        <w:bottom w:val="none" w:sz="0" w:space="0" w:color="auto"/>
                                                        <w:right w:val="none" w:sz="0" w:space="0" w:color="auto"/>
                                                      </w:divBdr>
                                                      <w:divsChild>
                                                        <w:div w:id="1271161191">
                                                          <w:marLeft w:val="0"/>
                                                          <w:marRight w:val="0"/>
                                                          <w:marTop w:val="0"/>
                                                          <w:marBottom w:val="0"/>
                                                          <w:divBdr>
                                                            <w:top w:val="single" w:sz="6" w:space="0" w:color="DFE1E5"/>
                                                            <w:left w:val="single" w:sz="6" w:space="0" w:color="DFE1E5"/>
                                                            <w:bottom w:val="single" w:sz="6" w:space="0" w:color="DFE1E5"/>
                                                            <w:right w:val="single" w:sz="6" w:space="0" w:color="DFE1E5"/>
                                                          </w:divBdr>
                                                          <w:divsChild>
                                                            <w:div w:id="1014192466">
                                                              <w:marLeft w:val="0"/>
                                                              <w:marRight w:val="0"/>
                                                              <w:marTop w:val="0"/>
                                                              <w:marBottom w:val="0"/>
                                                              <w:divBdr>
                                                                <w:top w:val="none" w:sz="0" w:space="0" w:color="auto"/>
                                                                <w:left w:val="none" w:sz="0" w:space="0" w:color="auto"/>
                                                                <w:bottom w:val="none" w:sz="0" w:space="0" w:color="auto"/>
                                                                <w:right w:val="none" w:sz="0" w:space="0" w:color="auto"/>
                                                              </w:divBdr>
                                                              <w:divsChild>
                                                                <w:div w:id="2018654093">
                                                                  <w:marLeft w:val="0"/>
                                                                  <w:marRight w:val="0"/>
                                                                  <w:marTop w:val="0"/>
                                                                  <w:marBottom w:val="0"/>
                                                                  <w:divBdr>
                                                                    <w:top w:val="none" w:sz="0" w:space="0" w:color="auto"/>
                                                                    <w:left w:val="none" w:sz="0" w:space="0" w:color="auto"/>
                                                                    <w:bottom w:val="none" w:sz="0" w:space="0" w:color="auto"/>
                                                                    <w:right w:val="none" w:sz="0" w:space="0" w:color="auto"/>
                                                                  </w:divBdr>
                                                                  <w:divsChild>
                                                                    <w:div w:id="1270114952">
                                                                      <w:marLeft w:val="0"/>
                                                                      <w:marRight w:val="0"/>
                                                                      <w:marTop w:val="0"/>
                                                                      <w:marBottom w:val="0"/>
                                                                      <w:divBdr>
                                                                        <w:top w:val="none" w:sz="0" w:space="0" w:color="auto"/>
                                                                        <w:left w:val="none" w:sz="0" w:space="0" w:color="auto"/>
                                                                        <w:bottom w:val="none" w:sz="0" w:space="0" w:color="auto"/>
                                                                        <w:right w:val="none" w:sz="0" w:space="0" w:color="auto"/>
                                                                      </w:divBdr>
                                                                      <w:divsChild>
                                                                        <w:div w:id="148443439">
                                                                          <w:marLeft w:val="0"/>
                                                                          <w:marRight w:val="0"/>
                                                                          <w:marTop w:val="0"/>
                                                                          <w:marBottom w:val="0"/>
                                                                          <w:divBdr>
                                                                            <w:top w:val="none" w:sz="0" w:space="0" w:color="auto"/>
                                                                            <w:left w:val="none" w:sz="0" w:space="0" w:color="auto"/>
                                                                            <w:bottom w:val="none" w:sz="0" w:space="0" w:color="auto"/>
                                                                            <w:right w:val="none" w:sz="0" w:space="0" w:color="auto"/>
                                                                          </w:divBdr>
                                                                          <w:divsChild>
                                                                            <w:div w:id="37165855">
                                                                              <w:marLeft w:val="0"/>
                                                                              <w:marRight w:val="0"/>
                                                                              <w:marTop w:val="0"/>
                                                                              <w:marBottom w:val="0"/>
                                                                              <w:divBdr>
                                                                                <w:top w:val="none" w:sz="0" w:space="0" w:color="auto"/>
                                                                                <w:left w:val="none" w:sz="0" w:space="0" w:color="auto"/>
                                                                                <w:bottom w:val="none" w:sz="0" w:space="0" w:color="auto"/>
                                                                                <w:right w:val="none" w:sz="0" w:space="0" w:color="auto"/>
                                                                              </w:divBdr>
                                                                              <w:divsChild>
                                                                                <w:div w:id="172183464">
                                                                                  <w:marLeft w:val="0"/>
                                                                                  <w:marRight w:val="0"/>
                                                                                  <w:marTop w:val="0"/>
                                                                                  <w:marBottom w:val="0"/>
                                                                                  <w:divBdr>
                                                                                    <w:top w:val="none" w:sz="0" w:space="0" w:color="auto"/>
                                                                                    <w:left w:val="none" w:sz="0" w:space="0" w:color="auto"/>
                                                                                    <w:bottom w:val="none" w:sz="0" w:space="0" w:color="auto"/>
                                                                                    <w:right w:val="none" w:sz="0" w:space="0" w:color="auto"/>
                                                                                  </w:divBdr>
                                                                                  <w:divsChild>
                                                                                    <w:div w:id="20201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772914">
      <w:bodyDiv w:val="1"/>
      <w:marLeft w:val="0"/>
      <w:marRight w:val="0"/>
      <w:marTop w:val="0"/>
      <w:marBottom w:val="0"/>
      <w:divBdr>
        <w:top w:val="none" w:sz="0" w:space="0" w:color="auto"/>
        <w:left w:val="none" w:sz="0" w:space="0" w:color="auto"/>
        <w:bottom w:val="none" w:sz="0" w:space="0" w:color="auto"/>
        <w:right w:val="none" w:sz="0" w:space="0" w:color="auto"/>
      </w:divBdr>
    </w:div>
    <w:div w:id="1210915674">
      <w:bodyDiv w:val="1"/>
      <w:marLeft w:val="0"/>
      <w:marRight w:val="0"/>
      <w:marTop w:val="0"/>
      <w:marBottom w:val="0"/>
      <w:divBdr>
        <w:top w:val="none" w:sz="0" w:space="0" w:color="auto"/>
        <w:left w:val="none" w:sz="0" w:space="0" w:color="auto"/>
        <w:bottom w:val="none" w:sz="0" w:space="0" w:color="auto"/>
        <w:right w:val="none" w:sz="0" w:space="0" w:color="auto"/>
      </w:divBdr>
    </w:div>
    <w:div w:id="1478179233">
      <w:bodyDiv w:val="1"/>
      <w:marLeft w:val="0"/>
      <w:marRight w:val="0"/>
      <w:marTop w:val="0"/>
      <w:marBottom w:val="0"/>
      <w:divBdr>
        <w:top w:val="none" w:sz="0" w:space="0" w:color="auto"/>
        <w:left w:val="none" w:sz="0" w:space="0" w:color="auto"/>
        <w:bottom w:val="none" w:sz="0" w:space="0" w:color="auto"/>
        <w:right w:val="none" w:sz="0" w:space="0" w:color="auto"/>
      </w:divBdr>
    </w:div>
    <w:div w:id="1855268522">
      <w:bodyDiv w:val="1"/>
      <w:marLeft w:val="0"/>
      <w:marRight w:val="0"/>
      <w:marTop w:val="0"/>
      <w:marBottom w:val="0"/>
      <w:divBdr>
        <w:top w:val="none" w:sz="0" w:space="0" w:color="auto"/>
        <w:left w:val="none" w:sz="0" w:space="0" w:color="auto"/>
        <w:bottom w:val="none" w:sz="0" w:space="0" w:color="auto"/>
        <w:right w:val="none" w:sz="0" w:space="0" w:color="auto"/>
      </w:divBdr>
    </w:div>
    <w:div w:id="1922106299">
      <w:bodyDiv w:val="1"/>
      <w:marLeft w:val="0"/>
      <w:marRight w:val="0"/>
      <w:marTop w:val="0"/>
      <w:marBottom w:val="0"/>
      <w:divBdr>
        <w:top w:val="none" w:sz="0" w:space="0" w:color="auto"/>
        <w:left w:val="none" w:sz="0" w:space="0" w:color="auto"/>
        <w:bottom w:val="none" w:sz="0" w:space="0" w:color="auto"/>
        <w:right w:val="none" w:sz="0" w:space="0" w:color="auto"/>
      </w:divBdr>
    </w:div>
    <w:div w:id="1928340665">
      <w:bodyDiv w:val="1"/>
      <w:marLeft w:val="0"/>
      <w:marRight w:val="0"/>
      <w:marTop w:val="0"/>
      <w:marBottom w:val="0"/>
      <w:divBdr>
        <w:top w:val="none" w:sz="0" w:space="0" w:color="auto"/>
        <w:left w:val="none" w:sz="0" w:space="0" w:color="auto"/>
        <w:bottom w:val="none" w:sz="0" w:space="0" w:color="auto"/>
        <w:right w:val="none" w:sz="0" w:space="0" w:color="auto"/>
      </w:divBdr>
    </w:div>
    <w:div w:id="1941326727">
      <w:bodyDiv w:val="1"/>
      <w:marLeft w:val="0"/>
      <w:marRight w:val="0"/>
      <w:marTop w:val="0"/>
      <w:marBottom w:val="0"/>
      <w:divBdr>
        <w:top w:val="none" w:sz="0" w:space="0" w:color="auto"/>
        <w:left w:val="none" w:sz="0" w:space="0" w:color="auto"/>
        <w:bottom w:val="none" w:sz="0" w:space="0" w:color="auto"/>
        <w:right w:val="none" w:sz="0" w:space="0" w:color="auto"/>
      </w:divBdr>
      <w:divsChild>
        <w:div w:id="570241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sac-isc.gc.ca/eng/1562156065850/1562156080548" TargetMode="External"/><Relationship Id="rId17" Type="http://schemas.openxmlformats.org/officeDocument/2006/relationships/footer" Target="footer4.xml"/><Relationship Id="rId25" Type="http://schemas.openxmlformats.org/officeDocument/2006/relationships/chart" Target="charts/chart9.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hart" Target="charts/chart4.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government/publicservice/wellness-inclusion-diversity-public-service/diversity-inclusion-public-service/employment-equity-annual-reports/employment-equity-public-service-canada-2018-2019.html" TargetMode="External"/><Relationship Id="rId24" Type="http://schemas.openxmlformats.org/officeDocument/2006/relationships/chart" Target="charts/chart8.xm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3.xml"/><Relationship Id="rId31"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fontTable" Target="fontTable.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PSC-Letterhead-Corpo2019.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6.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7.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8.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chartUserShapes" Target="../drawings/drawing9.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chartUserShapes" Target="../drawings/drawing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4.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5.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CA" sz="1200" b="1"/>
              <a:t>Population by tenure as of March 31, 2020</a:t>
            </a:r>
          </a:p>
        </c:rich>
      </c:tx>
      <c:overlay val="1"/>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820755769669271"/>
          <c:y val="0.11428571428571428"/>
          <c:w val="0.85790458031932704"/>
          <c:h val="0.63086532365272519"/>
        </c:manualLayout>
      </c:layout>
      <c:barChart>
        <c:barDir val="col"/>
        <c:grouping val="stacked"/>
        <c:varyColors val="0"/>
        <c:ser>
          <c:idx val="0"/>
          <c:order val="0"/>
          <c:tx>
            <c:strRef>
              <c:f>Sheet1!$B$1</c:f>
              <c:strCache>
                <c:ptCount val="1"/>
                <c:pt idx="0">
                  <c:v> Indeterminate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2015 
(N=4 678) </c:v>
                </c:pt>
                <c:pt idx="1">
                  <c:v> 2016 
(N=4 582)</c:v>
                </c:pt>
                <c:pt idx="2">
                  <c:v> 2017 
(N=4 786) </c:v>
                </c:pt>
                <c:pt idx="3">
                  <c:v> 2018 
(N=4 986) </c:v>
                </c:pt>
                <c:pt idx="4">
                  <c:v> 2019
(N=5 121) </c:v>
                </c:pt>
                <c:pt idx="5">
                  <c:v> 2020
(N=5 470) </c:v>
                </c:pt>
              </c:strCache>
            </c:strRef>
          </c:cat>
          <c:val>
            <c:numRef>
              <c:f>Sheet1!$B$2:$B$7</c:f>
              <c:numCache>
                <c:formatCode>#\ ###</c:formatCode>
                <c:ptCount val="6"/>
                <c:pt idx="0">
                  <c:v>3898</c:v>
                </c:pt>
                <c:pt idx="1">
                  <c:v>3807</c:v>
                </c:pt>
                <c:pt idx="2">
                  <c:v>4005</c:v>
                </c:pt>
                <c:pt idx="3">
                  <c:v>4165</c:v>
                </c:pt>
                <c:pt idx="4">
                  <c:v>4271</c:v>
                </c:pt>
                <c:pt idx="5">
                  <c:v>4592</c:v>
                </c:pt>
              </c:numCache>
            </c:numRef>
          </c:val>
          <c:extLst>
            <c:ext xmlns:c16="http://schemas.microsoft.com/office/drawing/2014/chart" uri="{C3380CC4-5D6E-409C-BE32-E72D297353CC}">
              <c16:uniqueId val="{00000000-B99F-4528-8522-910DB1A0AD6A}"/>
            </c:ext>
          </c:extLst>
        </c:ser>
        <c:ser>
          <c:idx val="1"/>
          <c:order val="1"/>
          <c:tx>
            <c:strRef>
              <c:f>Sheet1!$C$1</c:f>
              <c:strCache>
                <c:ptCount val="1"/>
                <c:pt idx="0">
                  <c:v> Term </c:v>
                </c:pt>
              </c:strCache>
            </c:strRef>
          </c:tx>
          <c:spPr>
            <a:solidFill>
              <a:schemeClr val="accent2"/>
            </a:solidFill>
            <a:ln>
              <a:noFill/>
            </a:ln>
            <a:effectLst/>
          </c:spPr>
          <c:invertIfNegative val="0"/>
          <c:dLbls>
            <c:dLbl>
              <c:idx val="0"/>
              <c:layout>
                <c:manualLayout>
                  <c:x val="0"/>
                  <c:y val="3.11688311688311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9F-4528-8522-910DB1A0AD6A}"/>
                </c:ext>
              </c:extLst>
            </c:dLbl>
            <c:dLbl>
              <c:idx val="1"/>
              <c:layout>
                <c:manualLayout>
                  <c:x val="0"/>
                  <c:y val="3.11688311688311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99F-4528-8522-910DB1A0AD6A}"/>
                </c:ext>
              </c:extLst>
            </c:dLbl>
            <c:dLbl>
              <c:idx val="2"/>
              <c:layout>
                <c:manualLayout>
                  <c:x val="0"/>
                  <c:y val="1.55844155844155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99F-4528-8522-910DB1A0AD6A}"/>
                </c:ext>
              </c:extLst>
            </c:dLbl>
            <c:dLbl>
              <c:idx val="3"/>
              <c:layout>
                <c:manualLayout>
                  <c:x val="3.0806666250306263E-3"/>
                  <c:y val="1.0389610389610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99F-4528-8522-910DB1A0AD6A}"/>
                </c:ext>
              </c:extLst>
            </c:dLbl>
            <c:dLbl>
              <c:idx val="4"/>
              <c:layout>
                <c:manualLayout>
                  <c:x val="3.0806666250306263E-3"/>
                  <c:y val="1.0389610389610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99F-4528-8522-910DB1A0AD6A}"/>
                </c:ext>
              </c:extLst>
            </c:dLbl>
            <c:dLbl>
              <c:idx val="5"/>
              <c:layout>
                <c:manualLayout>
                  <c:x val="-1.1185553110157895E-16"/>
                  <c:y val="5.194805194805194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99F-4528-8522-910DB1A0AD6A}"/>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2015 
(N=4 678) </c:v>
                </c:pt>
                <c:pt idx="1">
                  <c:v> 2016 
(N=4 582)</c:v>
                </c:pt>
                <c:pt idx="2">
                  <c:v> 2017 
(N=4 786) </c:v>
                </c:pt>
                <c:pt idx="3">
                  <c:v> 2018 
(N=4 986) </c:v>
                </c:pt>
                <c:pt idx="4">
                  <c:v> 2019
(N=5 121) </c:v>
                </c:pt>
                <c:pt idx="5">
                  <c:v> 2020
(N=5 470) </c:v>
                </c:pt>
              </c:strCache>
            </c:strRef>
          </c:cat>
          <c:val>
            <c:numRef>
              <c:f>Sheet1!$C$2:$C$7</c:f>
              <c:numCache>
                <c:formatCode>#\ ###</c:formatCode>
                <c:ptCount val="6"/>
                <c:pt idx="0">
                  <c:v>261</c:v>
                </c:pt>
                <c:pt idx="1">
                  <c:v>227</c:v>
                </c:pt>
                <c:pt idx="2">
                  <c:v>232</c:v>
                </c:pt>
                <c:pt idx="3">
                  <c:v>280</c:v>
                </c:pt>
                <c:pt idx="4">
                  <c:v>306</c:v>
                </c:pt>
                <c:pt idx="5">
                  <c:v>318</c:v>
                </c:pt>
              </c:numCache>
            </c:numRef>
          </c:val>
          <c:extLst>
            <c:ext xmlns:c16="http://schemas.microsoft.com/office/drawing/2014/chart" uri="{C3380CC4-5D6E-409C-BE32-E72D297353CC}">
              <c16:uniqueId val="{00000007-B99F-4528-8522-910DB1A0AD6A}"/>
            </c:ext>
          </c:extLst>
        </c:ser>
        <c:ser>
          <c:idx val="2"/>
          <c:order val="2"/>
          <c:tx>
            <c:strRef>
              <c:f>Sheet1!$D$1</c:f>
              <c:strCache>
                <c:ptCount val="1"/>
                <c:pt idx="0">
                  <c:v> Casual </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2015 
(N=4 678) </c:v>
                </c:pt>
                <c:pt idx="1">
                  <c:v> 2016 
(N=4 582)</c:v>
                </c:pt>
                <c:pt idx="2">
                  <c:v> 2017 
(N=4 786) </c:v>
                </c:pt>
                <c:pt idx="3">
                  <c:v> 2018 
(N=4 986) </c:v>
                </c:pt>
                <c:pt idx="4">
                  <c:v> 2019
(N=5 121) </c:v>
                </c:pt>
                <c:pt idx="5">
                  <c:v> 2020
(N=5 470) </c:v>
                </c:pt>
              </c:strCache>
            </c:strRef>
          </c:cat>
          <c:val>
            <c:numRef>
              <c:f>Sheet1!$D$2:$D$7</c:f>
              <c:numCache>
                <c:formatCode>#\ ###</c:formatCode>
                <c:ptCount val="6"/>
                <c:pt idx="0">
                  <c:v>258</c:v>
                </c:pt>
                <c:pt idx="1">
                  <c:v>280</c:v>
                </c:pt>
                <c:pt idx="2">
                  <c:v>280</c:v>
                </c:pt>
                <c:pt idx="3">
                  <c:v>277</c:v>
                </c:pt>
                <c:pt idx="4">
                  <c:v>298</c:v>
                </c:pt>
                <c:pt idx="5">
                  <c:v>284</c:v>
                </c:pt>
              </c:numCache>
            </c:numRef>
          </c:val>
          <c:extLst>
            <c:ext xmlns:c16="http://schemas.microsoft.com/office/drawing/2014/chart" uri="{C3380CC4-5D6E-409C-BE32-E72D297353CC}">
              <c16:uniqueId val="{00000008-B99F-4528-8522-910DB1A0AD6A}"/>
            </c:ext>
          </c:extLst>
        </c:ser>
        <c:ser>
          <c:idx val="3"/>
          <c:order val="3"/>
          <c:tx>
            <c:strRef>
              <c:f>Sheet1!$E$1</c:f>
              <c:strCache>
                <c:ptCount val="1"/>
                <c:pt idx="0">
                  <c:v> Student </c:v>
                </c:pt>
              </c:strCache>
            </c:strRef>
          </c:tx>
          <c:spPr>
            <a:solidFill>
              <a:schemeClr val="accent4"/>
            </a:solidFill>
            <a:ln>
              <a:noFill/>
            </a:ln>
            <a:effectLst/>
          </c:spPr>
          <c:invertIfNegative val="0"/>
          <c:dLbls>
            <c:dLbl>
              <c:idx val="0"/>
              <c:layout>
                <c:manualLayout>
                  <c:x val="2.8239558760857657E-17"/>
                  <c:y val="-3.636363636363636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99F-4528-8522-910DB1A0AD6A}"/>
                </c:ext>
              </c:extLst>
            </c:dLbl>
            <c:dLbl>
              <c:idx val="1"/>
              <c:layout>
                <c:manualLayout>
                  <c:x val="0"/>
                  <c:y val="-3.11688311688311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99F-4528-8522-910DB1A0AD6A}"/>
                </c:ext>
              </c:extLst>
            </c:dLbl>
            <c:dLbl>
              <c:idx val="2"/>
              <c:layout>
                <c:manualLayout>
                  <c:x val="-5.6479117521715313E-17"/>
                  <c:y val="-4.155844155844157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99F-4528-8522-910DB1A0AD6A}"/>
                </c:ext>
              </c:extLst>
            </c:dLbl>
            <c:dLbl>
              <c:idx val="3"/>
              <c:layout>
                <c:manualLayout>
                  <c:x val="0"/>
                  <c:y val="-3.63636363636364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99F-4528-8522-910DB1A0AD6A}"/>
                </c:ext>
              </c:extLst>
            </c:dLbl>
            <c:dLbl>
              <c:idx val="4"/>
              <c:layout>
                <c:manualLayout>
                  <c:x val="0"/>
                  <c:y val="-3.636363636363636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99F-4528-8522-910DB1A0AD6A}"/>
                </c:ext>
              </c:extLst>
            </c:dLbl>
            <c:dLbl>
              <c:idx val="5"/>
              <c:layout>
                <c:manualLayout>
                  <c:x val="-1.1295823504343063E-16"/>
                  <c:y val="-3.11688311688311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99F-4528-8522-910DB1A0AD6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 2015 
(N=4 678) </c:v>
                </c:pt>
                <c:pt idx="1">
                  <c:v> 2016 
(N=4 582)</c:v>
                </c:pt>
                <c:pt idx="2">
                  <c:v> 2017 
(N=4 786) </c:v>
                </c:pt>
                <c:pt idx="3">
                  <c:v> 2018 
(N=4 986) </c:v>
                </c:pt>
                <c:pt idx="4">
                  <c:v> 2019
(N=5 121) </c:v>
                </c:pt>
                <c:pt idx="5">
                  <c:v> 2020
(N=5 470) </c:v>
                </c:pt>
              </c:strCache>
            </c:strRef>
          </c:cat>
          <c:val>
            <c:numRef>
              <c:f>Sheet1!$E$2:$E$7</c:f>
              <c:numCache>
                <c:formatCode>#\ ###</c:formatCode>
                <c:ptCount val="6"/>
                <c:pt idx="0">
                  <c:v>261</c:v>
                </c:pt>
                <c:pt idx="1">
                  <c:v>268</c:v>
                </c:pt>
                <c:pt idx="2">
                  <c:v>269</c:v>
                </c:pt>
                <c:pt idx="3">
                  <c:v>264</c:v>
                </c:pt>
                <c:pt idx="4">
                  <c:v>246</c:v>
                </c:pt>
                <c:pt idx="5">
                  <c:v>276</c:v>
                </c:pt>
              </c:numCache>
            </c:numRef>
          </c:val>
          <c:extLst>
            <c:ext xmlns:c16="http://schemas.microsoft.com/office/drawing/2014/chart" uri="{C3380CC4-5D6E-409C-BE32-E72D297353CC}">
              <c16:uniqueId val="{0000000F-B99F-4528-8522-910DB1A0AD6A}"/>
            </c:ext>
          </c:extLst>
        </c:ser>
        <c:dLbls>
          <c:dLblPos val="ctr"/>
          <c:showLegendKey val="0"/>
          <c:showVal val="1"/>
          <c:showCatName val="0"/>
          <c:showSerName val="0"/>
          <c:showPercent val="0"/>
          <c:showBubbleSize val="0"/>
        </c:dLbls>
        <c:gapWidth val="150"/>
        <c:overlap val="100"/>
        <c:axId val="618895496"/>
        <c:axId val="618896672"/>
      </c:barChart>
      <c:catAx>
        <c:axId val="618895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8896672"/>
        <c:crosses val="autoZero"/>
        <c:auto val="1"/>
        <c:lblAlgn val="ctr"/>
        <c:lblOffset val="100"/>
        <c:noMultiLvlLbl val="0"/>
      </c:catAx>
      <c:valAx>
        <c:axId val="618896672"/>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8895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CA" sz="1200" b="1"/>
              <a:t>Student program hires</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3588966676906661"/>
          <c:y val="0.12358035061426992"/>
          <c:w val="0.81893579524325377"/>
          <c:h val="0.59127513128395404"/>
        </c:manualLayout>
      </c:layout>
      <c:barChart>
        <c:barDir val="col"/>
        <c:grouping val="stacked"/>
        <c:varyColors val="0"/>
        <c:ser>
          <c:idx val="0"/>
          <c:order val="0"/>
          <c:tx>
            <c:strRef>
              <c:f>Sheet1!$B$1</c:f>
              <c:strCache>
                <c:ptCount val="1"/>
                <c:pt idx="0">
                  <c:v>Federal Student Work Experience Program (FSWEP)</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2015-16
 (N=634)</c:v>
                </c:pt>
                <c:pt idx="1">
                  <c:v>2016-17
 (N=567)</c:v>
                </c:pt>
                <c:pt idx="2">
                  <c:v>2017-18
 (N=541)</c:v>
                </c:pt>
                <c:pt idx="3">
                  <c:v>2018-19
 (N=524)</c:v>
                </c:pt>
                <c:pt idx="4">
                  <c:v>2019-20
 (N=517)</c:v>
                </c:pt>
              </c:strCache>
            </c:strRef>
          </c:cat>
          <c:val>
            <c:numRef>
              <c:f>Sheet1!$B$2:$B$6</c:f>
              <c:numCache>
                <c:formatCode>General</c:formatCode>
                <c:ptCount val="5"/>
                <c:pt idx="0">
                  <c:v>286</c:v>
                </c:pt>
                <c:pt idx="1">
                  <c:v>305</c:v>
                </c:pt>
                <c:pt idx="2">
                  <c:v>290</c:v>
                </c:pt>
                <c:pt idx="3">
                  <c:v>285</c:v>
                </c:pt>
                <c:pt idx="4">
                  <c:v>324</c:v>
                </c:pt>
              </c:numCache>
            </c:numRef>
          </c:val>
          <c:extLst>
            <c:ext xmlns:c16="http://schemas.microsoft.com/office/drawing/2014/chart" uri="{C3380CC4-5D6E-409C-BE32-E72D297353CC}">
              <c16:uniqueId val="{00000000-9070-4995-9BE7-7E3079660144}"/>
            </c:ext>
          </c:extLst>
        </c:ser>
        <c:ser>
          <c:idx val="1"/>
          <c:order val="1"/>
          <c:tx>
            <c:strRef>
              <c:f>Sheet1!$C$1</c:f>
              <c:strCache>
                <c:ptCount val="1"/>
                <c:pt idx="0">
                  <c:v>Post-Secondary CO-OP/Internship Program (COOP)</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2015-16
 (N=634)</c:v>
                </c:pt>
                <c:pt idx="1">
                  <c:v>2016-17
 (N=567)</c:v>
                </c:pt>
                <c:pt idx="2">
                  <c:v>2017-18
 (N=541)</c:v>
                </c:pt>
                <c:pt idx="3">
                  <c:v>2018-19
 (N=524)</c:v>
                </c:pt>
                <c:pt idx="4">
                  <c:v>2019-20
 (N=517)</c:v>
                </c:pt>
              </c:strCache>
            </c:strRef>
          </c:cat>
          <c:val>
            <c:numRef>
              <c:f>Sheet1!$C$2:$C$6</c:f>
              <c:numCache>
                <c:formatCode>General</c:formatCode>
                <c:ptCount val="5"/>
                <c:pt idx="0">
                  <c:v>347</c:v>
                </c:pt>
                <c:pt idx="1">
                  <c:v>262</c:v>
                </c:pt>
                <c:pt idx="2">
                  <c:v>250</c:v>
                </c:pt>
                <c:pt idx="3">
                  <c:v>235</c:v>
                </c:pt>
                <c:pt idx="4">
                  <c:v>193</c:v>
                </c:pt>
              </c:numCache>
            </c:numRef>
          </c:val>
          <c:extLst>
            <c:ext xmlns:c16="http://schemas.microsoft.com/office/drawing/2014/chart" uri="{C3380CC4-5D6E-409C-BE32-E72D297353CC}">
              <c16:uniqueId val="{00000001-9070-4995-9BE7-7E3079660144}"/>
            </c:ext>
          </c:extLst>
        </c:ser>
        <c:ser>
          <c:idx val="2"/>
          <c:order val="2"/>
          <c:tx>
            <c:strRef>
              <c:f>Sheet1!$D$1</c:f>
              <c:strCache>
                <c:ptCount val="1"/>
                <c:pt idx="0">
                  <c:v>Research Affiliate Program (RAP)</c:v>
                </c:pt>
              </c:strCache>
            </c:strRef>
          </c:tx>
          <c:spPr>
            <a:solidFill>
              <a:schemeClr val="accent3"/>
            </a:solidFill>
            <a:ln>
              <a:noFill/>
            </a:ln>
            <a:effectLst/>
          </c:spPr>
          <c:invertIfNegative val="0"/>
          <c:dLbls>
            <c:dLbl>
              <c:idx val="0"/>
              <c:layout>
                <c:manualLayout>
                  <c:x val="4.1067761806981521E-3"/>
                  <c:y val="-2.68610897927858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070-4995-9BE7-7E3079660144}"/>
                </c:ext>
              </c:extLst>
            </c:dLbl>
            <c:dLbl>
              <c:idx val="1"/>
              <c:delete val="1"/>
              <c:extLst>
                <c:ext xmlns:c15="http://schemas.microsoft.com/office/drawing/2012/chart" uri="{CE6537A1-D6FC-4f65-9D91-7224C49458BB}"/>
                <c:ext xmlns:c16="http://schemas.microsoft.com/office/drawing/2014/chart" uri="{C3380CC4-5D6E-409C-BE32-E72D297353CC}">
                  <c16:uniqueId val="{00000003-9070-4995-9BE7-7E3079660144}"/>
                </c:ext>
              </c:extLst>
            </c:dLbl>
            <c:dLbl>
              <c:idx val="2"/>
              <c:layout>
                <c:manualLayout>
                  <c:x val="4.1067761806981521E-3"/>
                  <c:y val="-3.453568687643898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070-4995-9BE7-7E3079660144}"/>
                </c:ext>
              </c:extLst>
            </c:dLbl>
            <c:dLbl>
              <c:idx val="3"/>
              <c:layout>
                <c:manualLayout>
                  <c:x val="-1.5058005377863483E-16"/>
                  <c:y val="-3.83729854182655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070-4995-9BE7-7E3079660144}"/>
                </c:ext>
              </c:extLst>
            </c:dLbl>
            <c:dLbl>
              <c:idx val="4"/>
              <c:delete val="1"/>
              <c:extLst>
                <c:ext xmlns:c15="http://schemas.microsoft.com/office/drawing/2012/chart" uri="{CE6537A1-D6FC-4f65-9D91-7224C49458BB}"/>
                <c:ext xmlns:c16="http://schemas.microsoft.com/office/drawing/2014/chart" uri="{C3380CC4-5D6E-409C-BE32-E72D297353CC}">
                  <c16:uniqueId val="{00000006-9070-4995-9BE7-7E307966014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2015-16
 (N=634)</c:v>
                </c:pt>
                <c:pt idx="1">
                  <c:v>2016-17
 (N=567)</c:v>
                </c:pt>
                <c:pt idx="2">
                  <c:v>2017-18
 (N=541)</c:v>
                </c:pt>
                <c:pt idx="3">
                  <c:v>2018-19
 (N=524)</c:v>
                </c:pt>
                <c:pt idx="4">
                  <c:v>2019-20
 (N=517)</c:v>
                </c:pt>
              </c:strCache>
            </c:strRef>
          </c:cat>
          <c:val>
            <c:numRef>
              <c:f>Sheet1!$D$2:$D$6</c:f>
              <c:numCache>
                <c:formatCode>General</c:formatCode>
                <c:ptCount val="5"/>
                <c:pt idx="0">
                  <c:v>1</c:v>
                </c:pt>
                <c:pt idx="1">
                  <c:v>0</c:v>
                </c:pt>
                <c:pt idx="2">
                  <c:v>1</c:v>
                </c:pt>
                <c:pt idx="3">
                  <c:v>4</c:v>
                </c:pt>
                <c:pt idx="4">
                  <c:v>0</c:v>
                </c:pt>
              </c:numCache>
            </c:numRef>
          </c:val>
          <c:extLst>
            <c:ext xmlns:c16="http://schemas.microsoft.com/office/drawing/2014/chart" uri="{C3380CC4-5D6E-409C-BE32-E72D297353CC}">
              <c16:uniqueId val="{00000007-9070-4995-9BE7-7E3079660144}"/>
            </c:ext>
          </c:extLst>
        </c:ser>
        <c:dLbls>
          <c:dLblPos val="ctr"/>
          <c:showLegendKey val="0"/>
          <c:showVal val="1"/>
          <c:showCatName val="0"/>
          <c:showSerName val="0"/>
          <c:showPercent val="0"/>
          <c:showBubbleSize val="0"/>
        </c:dLbls>
        <c:gapWidth val="150"/>
        <c:overlap val="100"/>
        <c:axId val="618888048"/>
        <c:axId val="618892360"/>
      </c:barChart>
      <c:catAx>
        <c:axId val="61888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8892360"/>
        <c:crosses val="autoZero"/>
        <c:auto val="1"/>
        <c:lblAlgn val="ctr"/>
        <c:lblOffset val="100"/>
        <c:noMultiLvlLbl val="0"/>
      </c:catAx>
      <c:valAx>
        <c:axId val="6188923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8888048"/>
        <c:crosses val="autoZero"/>
        <c:crossBetween val="between"/>
      </c:valAx>
      <c:spPr>
        <a:noFill/>
        <a:ln>
          <a:noFill/>
        </a:ln>
        <a:effectLst/>
      </c:spPr>
    </c:plotArea>
    <c:legend>
      <c:legendPos val="b"/>
      <c:layout>
        <c:manualLayout>
          <c:xMode val="edge"/>
          <c:yMode val="edge"/>
          <c:x val="4.2890265000242525E-2"/>
          <c:y val="0.8306778421691916"/>
          <c:w val="0.93475302753480249"/>
          <c:h val="0.1501356651216755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External indeterminate and term hiring activities: Post-Secondary Recruitment Program and former student hires</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3032789915352E-2"/>
          <c:y val="0.19540249333760371"/>
          <c:w val="0.90621744112971792"/>
          <c:h val="0.52825822904140041"/>
        </c:manualLayout>
      </c:layout>
      <c:bar3DChart>
        <c:barDir val="col"/>
        <c:grouping val="clustered"/>
        <c:varyColors val="0"/>
        <c:ser>
          <c:idx val="0"/>
          <c:order val="0"/>
          <c:tx>
            <c:strRef>
              <c:f>Sheet1!$B$1</c:f>
              <c:strCache>
                <c:ptCount val="1"/>
                <c:pt idx="0">
                  <c:v>Post-secondary Recruitment (PSR)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2015-16</c:v>
                </c:pt>
                <c:pt idx="1">
                  <c:v>2016-17</c:v>
                </c:pt>
                <c:pt idx="2">
                  <c:v>2017-18</c:v>
                </c:pt>
                <c:pt idx="3">
                  <c:v>2018-19</c:v>
                </c:pt>
                <c:pt idx="4">
                  <c:v>2019-20</c:v>
                </c:pt>
              </c:strCache>
            </c:strRef>
          </c:cat>
          <c:val>
            <c:numRef>
              <c:f>Sheet1!$B$2:$B$6</c:f>
              <c:numCache>
                <c:formatCode>_-* #,##0_-;\-* #,##0_-;_-* "-"??_-;_-@_-</c:formatCode>
                <c:ptCount val="5"/>
                <c:pt idx="0">
                  <c:v>6</c:v>
                </c:pt>
                <c:pt idx="1">
                  <c:v>14</c:v>
                </c:pt>
                <c:pt idx="2">
                  <c:v>10</c:v>
                </c:pt>
                <c:pt idx="3">
                  <c:v>12</c:v>
                </c:pt>
                <c:pt idx="4">
                  <c:v>12</c:v>
                </c:pt>
              </c:numCache>
            </c:numRef>
          </c:val>
          <c:extLst>
            <c:ext xmlns:c16="http://schemas.microsoft.com/office/drawing/2014/chart" uri="{C3380CC4-5D6E-409C-BE32-E72D297353CC}">
              <c16:uniqueId val="{00000000-7FCA-4595-8057-97496F1FCCDE}"/>
            </c:ext>
          </c:extLst>
        </c:ser>
        <c:ser>
          <c:idx val="1"/>
          <c:order val="1"/>
          <c:tx>
            <c:strRef>
              <c:f>Sheet1!$C$1</c:f>
              <c:strCache>
                <c:ptCount val="1"/>
                <c:pt idx="0">
                  <c:v>Former student hires*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2015-16</c:v>
                </c:pt>
                <c:pt idx="1">
                  <c:v>2016-17</c:v>
                </c:pt>
                <c:pt idx="2">
                  <c:v>2017-18</c:v>
                </c:pt>
                <c:pt idx="3">
                  <c:v>2018-19</c:v>
                </c:pt>
                <c:pt idx="4">
                  <c:v>2019-20</c:v>
                </c:pt>
              </c:strCache>
            </c:strRef>
          </c:cat>
          <c:val>
            <c:numRef>
              <c:f>Sheet1!$C$2:$C$6</c:f>
              <c:numCache>
                <c:formatCode>_-* #,##0_-;\-* #,##0_-;_-* "-"??_-;_-@_-</c:formatCode>
                <c:ptCount val="5"/>
                <c:pt idx="0">
                  <c:v>66</c:v>
                </c:pt>
                <c:pt idx="1">
                  <c:v>148</c:v>
                </c:pt>
                <c:pt idx="2">
                  <c:v>142</c:v>
                </c:pt>
                <c:pt idx="3">
                  <c:v>146</c:v>
                </c:pt>
                <c:pt idx="4">
                  <c:v>161</c:v>
                </c:pt>
              </c:numCache>
            </c:numRef>
          </c:val>
          <c:extLst>
            <c:ext xmlns:c16="http://schemas.microsoft.com/office/drawing/2014/chart" uri="{C3380CC4-5D6E-409C-BE32-E72D297353CC}">
              <c16:uniqueId val="{00000001-7FCA-4595-8057-97496F1FCCDE}"/>
            </c:ext>
          </c:extLst>
        </c:ser>
        <c:dLbls>
          <c:showLegendKey val="0"/>
          <c:showVal val="1"/>
          <c:showCatName val="0"/>
          <c:showSerName val="0"/>
          <c:showPercent val="0"/>
          <c:showBubbleSize val="0"/>
        </c:dLbls>
        <c:gapWidth val="150"/>
        <c:shape val="box"/>
        <c:axId val="618886088"/>
        <c:axId val="618893144"/>
        <c:axId val="0"/>
      </c:bar3DChart>
      <c:catAx>
        <c:axId val="6188860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8893144"/>
        <c:crosses val="autoZero"/>
        <c:auto val="1"/>
        <c:lblAlgn val="ctr"/>
        <c:lblOffset val="100"/>
        <c:noMultiLvlLbl val="0"/>
      </c:catAx>
      <c:valAx>
        <c:axId val="618893144"/>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8886088"/>
        <c:crosses val="autoZero"/>
        <c:crossBetween val="between"/>
        <c:minorUnit val="1"/>
      </c:valAx>
      <c:spPr>
        <a:noFill/>
        <a:ln>
          <a:noFill/>
        </a:ln>
        <a:effectLst/>
      </c:spPr>
    </c:plotArea>
    <c:legend>
      <c:legendPos val="r"/>
      <c:layout>
        <c:manualLayout>
          <c:xMode val="edge"/>
          <c:yMode val="edge"/>
          <c:x val="2.8456707535513492E-2"/>
          <c:y val="0.7903145980505315"/>
          <c:w val="0.94572119989179626"/>
          <c:h val="9.03746253592075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Internal time to staff</a:t>
            </a:r>
          </a:p>
          <a:p>
            <a:pPr>
              <a:defRPr sz="1200"/>
            </a:pPr>
            <a:r>
              <a:rPr lang="en-CA" sz="1200"/>
              <a:t>Public service median = 175 days</a:t>
            </a:r>
          </a:p>
          <a:p>
            <a:pPr>
              <a:defRPr sz="1200"/>
            </a:pPr>
            <a:r>
              <a:rPr lang="en-CA" sz="1200"/>
              <a:t> 2019-2020</a:t>
            </a:r>
          </a:p>
        </c:rich>
      </c:tx>
      <c:layout>
        <c:manualLayout>
          <c:xMode val="edge"/>
          <c:yMode val="edge"/>
          <c:x val="0.30646464646464644"/>
          <c:y val="3.6182590578239574E-3"/>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560475395121065"/>
          <c:y val="0.21433521840697753"/>
          <c:w val="0.85778504959607327"/>
          <c:h val="0.53656772284907683"/>
        </c:manualLayout>
      </c:layout>
      <c:barChart>
        <c:barDir val="col"/>
        <c:grouping val="stacked"/>
        <c:varyColors val="0"/>
        <c:ser>
          <c:idx val="0"/>
          <c:order val="0"/>
          <c:tx>
            <c:strRef>
              <c:f>Sheet1!$B$1</c:f>
              <c:strCache>
                <c:ptCount val="1"/>
                <c:pt idx="0">
                  <c:v>Duration in Calendar Days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Sheet1!$A$2:$A$36</c:f>
              <c:strCache>
                <c:ptCount val="35"/>
                <c:pt idx="0">
                  <c:v>0</c:v>
                </c:pt>
                <c:pt idx="1">
                  <c:v>0-29</c:v>
                </c:pt>
                <c:pt idx="2">
                  <c:v>30-59</c:v>
                </c:pt>
                <c:pt idx="3">
                  <c:v>60-89</c:v>
                </c:pt>
                <c:pt idx="4">
                  <c:v>90-119</c:v>
                </c:pt>
                <c:pt idx="5">
                  <c:v>120-149</c:v>
                </c:pt>
                <c:pt idx="6">
                  <c:v>150-179</c:v>
                </c:pt>
                <c:pt idx="7">
                  <c:v>180-209</c:v>
                </c:pt>
                <c:pt idx="8">
                  <c:v>210-239</c:v>
                </c:pt>
                <c:pt idx="9">
                  <c:v>240-269</c:v>
                </c:pt>
                <c:pt idx="10">
                  <c:v>270-299</c:v>
                </c:pt>
                <c:pt idx="11">
                  <c:v>300-329</c:v>
                </c:pt>
                <c:pt idx="12">
                  <c:v>330-359</c:v>
                </c:pt>
                <c:pt idx="13">
                  <c:v>360-389</c:v>
                </c:pt>
                <c:pt idx="14">
                  <c:v>390-419</c:v>
                </c:pt>
                <c:pt idx="15">
                  <c:v>420-449</c:v>
                </c:pt>
                <c:pt idx="16">
                  <c:v>450-479</c:v>
                </c:pt>
                <c:pt idx="17">
                  <c:v>480-509</c:v>
                </c:pt>
                <c:pt idx="18">
                  <c:v>510-539</c:v>
                </c:pt>
                <c:pt idx="19">
                  <c:v>540-569</c:v>
                </c:pt>
                <c:pt idx="20">
                  <c:v>570-599</c:v>
                </c:pt>
                <c:pt idx="21">
                  <c:v>600-629</c:v>
                </c:pt>
                <c:pt idx="22">
                  <c:v>630-659</c:v>
                </c:pt>
                <c:pt idx="23">
                  <c:v>660-689</c:v>
                </c:pt>
                <c:pt idx="24">
                  <c:v>690-719</c:v>
                </c:pt>
                <c:pt idx="25">
                  <c:v>720-749</c:v>
                </c:pt>
                <c:pt idx="26">
                  <c:v>750-779</c:v>
                </c:pt>
                <c:pt idx="27">
                  <c:v>780-809</c:v>
                </c:pt>
                <c:pt idx="28">
                  <c:v>810-839</c:v>
                </c:pt>
                <c:pt idx="29">
                  <c:v>840-869</c:v>
                </c:pt>
                <c:pt idx="30">
                  <c:v>870-899</c:v>
                </c:pt>
                <c:pt idx="31">
                  <c:v>900-929</c:v>
                </c:pt>
                <c:pt idx="32">
                  <c:v>930-959</c:v>
                </c:pt>
                <c:pt idx="33">
                  <c:v>960-989</c:v>
                </c:pt>
                <c:pt idx="34">
                  <c:v>&gt;990</c:v>
                </c:pt>
              </c:strCache>
            </c:strRef>
          </c:cat>
          <c:val>
            <c:numRef>
              <c:f>Sheet1!$B$2:$B$36</c:f>
              <c:numCache>
                <c:formatCode>General</c:formatCode>
                <c:ptCount val="35"/>
                <c:pt idx="0">
                  <c:v>0</c:v>
                </c:pt>
                <c:pt idx="1">
                  <c:v>13</c:v>
                </c:pt>
                <c:pt idx="2">
                  <c:v>106</c:v>
                </c:pt>
                <c:pt idx="3">
                  <c:v>256</c:v>
                </c:pt>
                <c:pt idx="4">
                  <c:v>331</c:v>
                </c:pt>
                <c:pt idx="5">
                  <c:v>313</c:v>
                </c:pt>
                <c:pt idx="6">
                  <c:v>314</c:v>
                </c:pt>
                <c:pt idx="7">
                  <c:v>258</c:v>
                </c:pt>
                <c:pt idx="8">
                  <c:v>191</c:v>
                </c:pt>
                <c:pt idx="9">
                  <c:v>143</c:v>
                </c:pt>
                <c:pt idx="10">
                  <c:v>109</c:v>
                </c:pt>
                <c:pt idx="11">
                  <c:v>91</c:v>
                </c:pt>
                <c:pt idx="12">
                  <c:v>70</c:v>
                </c:pt>
                <c:pt idx="13">
                  <c:v>49</c:v>
                </c:pt>
                <c:pt idx="14">
                  <c:v>43</c:v>
                </c:pt>
                <c:pt idx="15">
                  <c:v>41</c:v>
                </c:pt>
                <c:pt idx="16">
                  <c:v>36</c:v>
                </c:pt>
                <c:pt idx="17">
                  <c:v>20</c:v>
                </c:pt>
                <c:pt idx="18">
                  <c:v>15</c:v>
                </c:pt>
                <c:pt idx="19">
                  <c:v>23</c:v>
                </c:pt>
                <c:pt idx="20">
                  <c:v>20</c:v>
                </c:pt>
                <c:pt idx="21">
                  <c:v>18</c:v>
                </c:pt>
                <c:pt idx="22">
                  <c:v>11</c:v>
                </c:pt>
                <c:pt idx="23">
                  <c:v>15</c:v>
                </c:pt>
                <c:pt idx="24">
                  <c:v>6</c:v>
                </c:pt>
                <c:pt idx="25">
                  <c:v>11</c:v>
                </c:pt>
                <c:pt idx="26">
                  <c:v>6</c:v>
                </c:pt>
                <c:pt idx="27">
                  <c:v>5</c:v>
                </c:pt>
                <c:pt idx="28">
                  <c:v>6</c:v>
                </c:pt>
                <c:pt idx="29">
                  <c:v>10</c:v>
                </c:pt>
                <c:pt idx="30">
                  <c:v>1</c:v>
                </c:pt>
                <c:pt idx="31">
                  <c:v>4</c:v>
                </c:pt>
                <c:pt idx="32">
                  <c:v>5</c:v>
                </c:pt>
                <c:pt idx="33">
                  <c:v>4</c:v>
                </c:pt>
                <c:pt idx="34">
                  <c:v>43</c:v>
                </c:pt>
              </c:numCache>
            </c:numRef>
          </c:val>
          <c:extLst>
            <c:ext xmlns:c16="http://schemas.microsoft.com/office/drawing/2014/chart" uri="{C3380CC4-5D6E-409C-BE32-E72D297353CC}">
              <c16:uniqueId val="{00000000-3775-43EC-9FF2-F56EA4CF12C3}"/>
            </c:ext>
          </c:extLst>
        </c:ser>
        <c:dLbls>
          <c:showLegendKey val="0"/>
          <c:showVal val="0"/>
          <c:showCatName val="0"/>
          <c:showSerName val="0"/>
          <c:showPercent val="0"/>
          <c:showBubbleSize val="0"/>
        </c:dLbls>
        <c:gapWidth val="150"/>
        <c:overlap val="100"/>
        <c:axId val="618894712"/>
        <c:axId val="618895104"/>
      </c:barChart>
      <c:catAx>
        <c:axId val="618894712"/>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Calendar days</a:t>
                </a:r>
              </a:p>
            </c:rich>
          </c:tx>
          <c:layout>
            <c:manualLayout>
              <c:xMode val="edge"/>
              <c:yMode val="edge"/>
              <c:x val="0.44497346922543773"/>
              <c:y val="0.9171130412822108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8895104"/>
        <c:crosses val="autoZero"/>
        <c:auto val="1"/>
        <c:lblAlgn val="ctr"/>
        <c:lblOffset val="100"/>
        <c:noMultiLvlLbl val="0"/>
      </c:catAx>
      <c:valAx>
        <c:axId val="618895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Frequency</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8894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Internal time to staff</a:t>
            </a:r>
          </a:p>
          <a:p>
            <a:pPr>
              <a:defRPr sz="1200"/>
            </a:pPr>
            <a:r>
              <a:rPr lang="en-CA" sz="1200"/>
              <a:t>Indigenous and Northern Affairs Canada median = 195 days</a:t>
            </a:r>
          </a:p>
          <a:p>
            <a:pPr>
              <a:defRPr sz="1200"/>
            </a:pPr>
            <a:r>
              <a:rPr lang="en-CA" sz="1200"/>
              <a:t> 2019-2020</a:t>
            </a:r>
          </a:p>
        </c:rich>
      </c:tx>
      <c:layout>
        <c:manualLayout>
          <c:xMode val="edge"/>
          <c:yMode val="edge"/>
          <c:x val="0.1402481266570178"/>
          <c:y val="3.6183406672166394E-3"/>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560475395121065"/>
          <c:y val="0.21433521840697753"/>
          <c:w val="0.85778504959607327"/>
          <c:h val="0.53656772284907683"/>
        </c:manualLayout>
      </c:layout>
      <c:barChart>
        <c:barDir val="col"/>
        <c:grouping val="stacked"/>
        <c:varyColors val="0"/>
        <c:ser>
          <c:idx val="0"/>
          <c:order val="0"/>
          <c:tx>
            <c:strRef>
              <c:f>Sheet1!$B$1</c:f>
              <c:strCache>
                <c:ptCount val="1"/>
                <c:pt idx="0">
                  <c:v>Duration in Calendar Days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Sheet1!$A$2:$A$36</c:f>
              <c:strCache>
                <c:ptCount val="35"/>
                <c:pt idx="0">
                  <c:v>0</c:v>
                </c:pt>
                <c:pt idx="1">
                  <c:v>0-29</c:v>
                </c:pt>
                <c:pt idx="2">
                  <c:v>30-59</c:v>
                </c:pt>
                <c:pt idx="3">
                  <c:v>60-89</c:v>
                </c:pt>
                <c:pt idx="4">
                  <c:v>90-119</c:v>
                </c:pt>
                <c:pt idx="5">
                  <c:v>120-149</c:v>
                </c:pt>
                <c:pt idx="6">
                  <c:v>150-179</c:v>
                </c:pt>
                <c:pt idx="7">
                  <c:v>180-209</c:v>
                </c:pt>
                <c:pt idx="8">
                  <c:v>210-239</c:v>
                </c:pt>
                <c:pt idx="9">
                  <c:v>240-269</c:v>
                </c:pt>
                <c:pt idx="10">
                  <c:v>270-299</c:v>
                </c:pt>
                <c:pt idx="11">
                  <c:v>300-329</c:v>
                </c:pt>
                <c:pt idx="12">
                  <c:v>330-359</c:v>
                </c:pt>
                <c:pt idx="13">
                  <c:v>360-389</c:v>
                </c:pt>
                <c:pt idx="14">
                  <c:v>390-419</c:v>
                </c:pt>
                <c:pt idx="15">
                  <c:v>420-449</c:v>
                </c:pt>
                <c:pt idx="16">
                  <c:v>450-479</c:v>
                </c:pt>
                <c:pt idx="17">
                  <c:v>480-509</c:v>
                </c:pt>
                <c:pt idx="18">
                  <c:v>510-539</c:v>
                </c:pt>
                <c:pt idx="19">
                  <c:v>540-569</c:v>
                </c:pt>
                <c:pt idx="20">
                  <c:v>570-599</c:v>
                </c:pt>
                <c:pt idx="21">
                  <c:v>600-629</c:v>
                </c:pt>
                <c:pt idx="22">
                  <c:v>630-659</c:v>
                </c:pt>
                <c:pt idx="23">
                  <c:v>660-689</c:v>
                </c:pt>
                <c:pt idx="24">
                  <c:v>690-719</c:v>
                </c:pt>
                <c:pt idx="25">
                  <c:v>720-749</c:v>
                </c:pt>
                <c:pt idx="26">
                  <c:v>750-779</c:v>
                </c:pt>
                <c:pt idx="27">
                  <c:v>780-809</c:v>
                </c:pt>
                <c:pt idx="28">
                  <c:v>810-839</c:v>
                </c:pt>
                <c:pt idx="29">
                  <c:v>840-869</c:v>
                </c:pt>
                <c:pt idx="30">
                  <c:v>870-899</c:v>
                </c:pt>
                <c:pt idx="31">
                  <c:v>900-929</c:v>
                </c:pt>
                <c:pt idx="32">
                  <c:v>930-959</c:v>
                </c:pt>
                <c:pt idx="33">
                  <c:v>960-989</c:v>
                </c:pt>
                <c:pt idx="34">
                  <c:v>&gt;990</c:v>
                </c:pt>
              </c:strCache>
            </c:strRef>
          </c:cat>
          <c:val>
            <c:numRef>
              <c:f>Sheet1!$B$2:$B$36</c:f>
              <c:numCache>
                <c:formatCode>General</c:formatCode>
                <c:ptCount val="35"/>
                <c:pt idx="1">
                  <c:v>1</c:v>
                </c:pt>
                <c:pt idx="2">
                  <c:v>4</c:v>
                </c:pt>
                <c:pt idx="3">
                  <c:v>10</c:v>
                </c:pt>
                <c:pt idx="4">
                  <c:v>10</c:v>
                </c:pt>
                <c:pt idx="5">
                  <c:v>10</c:v>
                </c:pt>
                <c:pt idx="6">
                  <c:v>13</c:v>
                </c:pt>
                <c:pt idx="7">
                  <c:v>10</c:v>
                </c:pt>
                <c:pt idx="8">
                  <c:v>11</c:v>
                </c:pt>
                <c:pt idx="9">
                  <c:v>3</c:v>
                </c:pt>
                <c:pt idx="10">
                  <c:v>10</c:v>
                </c:pt>
                <c:pt idx="11">
                  <c:v>5</c:v>
                </c:pt>
                <c:pt idx="12">
                  <c:v>6</c:v>
                </c:pt>
                <c:pt idx="13">
                  <c:v>2</c:v>
                </c:pt>
                <c:pt idx="14">
                  <c:v>1</c:v>
                </c:pt>
                <c:pt idx="15">
                  <c:v>4</c:v>
                </c:pt>
                <c:pt idx="16">
                  <c:v>2</c:v>
                </c:pt>
                <c:pt idx="17">
                  <c:v>1</c:v>
                </c:pt>
                <c:pt idx="18">
                  <c:v>0</c:v>
                </c:pt>
                <c:pt idx="19">
                  <c:v>0</c:v>
                </c:pt>
                <c:pt idx="20">
                  <c:v>1</c:v>
                </c:pt>
                <c:pt idx="21">
                  <c:v>0</c:v>
                </c:pt>
                <c:pt idx="22">
                  <c:v>0</c:v>
                </c:pt>
                <c:pt idx="23">
                  <c:v>0</c:v>
                </c:pt>
                <c:pt idx="24">
                  <c:v>1</c:v>
                </c:pt>
                <c:pt idx="25">
                  <c:v>0</c:v>
                </c:pt>
                <c:pt idx="26">
                  <c:v>0</c:v>
                </c:pt>
                <c:pt idx="27">
                  <c:v>0</c:v>
                </c:pt>
                <c:pt idx="28">
                  <c:v>0</c:v>
                </c:pt>
                <c:pt idx="29">
                  <c:v>0</c:v>
                </c:pt>
                <c:pt idx="30">
                  <c:v>0</c:v>
                </c:pt>
                <c:pt idx="31">
                  <c:v>0</c:v>
                </c:pt>
                <c:pt idx="32">
                  <c:v>0</c:v>
                </c:pt>
                <c:pt idx="33">
                  <c:v>0</c:v>
                </c:pt>
                <c:pt idx="34">
                  <c:v>1</c:v>
                </c:pt>
              </c:numCache>
            </c:numRef>
          </c:val>
          <c:extLst>
            <c:ext xmlns:c16="http://schemas.microsoft.com/office/drawing/2014/chart" uri="{C3380CC4-5D6E-409C-BE32-E72D297353CC}">
              <c16:uniqueId val="{00000000-A7A0-4409-B30B-2AF3B10BA7E6}"/>
            </c:ext>
          </c:extLst>
        </c:ser>
        <c:dLbls>
          <c:showLegendKey val="0"/>
          <c:showVal val="0"/>
          <c:showCatName val="0"/>
          <c:showSerName val="0"/>
          <c:showPercent val="0"/>
          <c:showBubbleSize val="0"/>
        </c:dLbls>
        <c:gapWidth val="150"/>
        <c:overlap val="100"/>
        <c:axId val="618884912"/>
        <c:axId val="618885304"/>
      </c:barChart>
      <c:catAx>
        <c:axId val="618884912"/>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Calendar Days</a:t>
                </a:r>
              </a:p>
            </c:rich>
          </c:tx>
          <c:layout>
            <c:manualLayout>
              <c:xMode val="edge"/>
              <c:yMode val="edge"/>
              <c:x val="0.44497346922543773"/>
              <c:y val="0.9171130412822108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8885304"/>
        <c:crosses val="autoZero"/>
        <c:auto val="1"/>
        <c:lblAlgn val="ctr"/>
        <c:lblOffset val="100"/>
        <c:noMultiLvlLbl val="0"/>
      </c:catAx>
      <c:valAx>
        <c:axId val="618885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Frequency</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8884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External time to staff</a:t>
            </a:r>
          </a:p>
          <a:p>
            <a:pPr>
              <a:defRPr sz="1200"/>
            </a:pPr>
            <a:r>
              <a:rPr lang="en-CA" sz="1200"/>
              <a:t>Public service median = 203 days</a:t>
            </a:r>
          </a:p>
          <a:p>
            <a:pPr>
              <a:defRPr sz="1200"/>
            </a:pPr>
            <a:r>
              <a:rPr lang="en-CA" sz="1200"/>
              <a:t> 2019-2020</a:t>
            </a:r>
          </a:p>
        </c:rich>
      </c:tx>
      <c:layout>
        <c:manualLayout>
          <c:xMode val="edge"/>
          <c:yMode val="edge"/>
          <c:x val="0.28931165126098374"/>
          <c:y val="1.2782228376329103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560475395121065"/>
          <c:y val="0.21433521840697753"/>
          <c:w val="0.85778504959607327"/>
          <c:h val="0.53656772284907683"/>
        </c:manualLayout>
      </c:layout>
      <c:barChart>
        <c:barDir val="col"/>
        <c:grouping val="stacked"/>
        <c:varyColors val="0"/>
        <c:ser>
          <c:idx val="0"/>
          <c:order val="0"/>
          <c:tx>
            <c:strRef>
              <c:f>Sheet1!$B$1</c:f>
              <c:strCache>
                <c:ptCount val="1"/>
                <c:pt idx="0">
                  <c:v>Duration in Calendar Days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Sheet1!$A$2:$A$36</c:f>
              <c:strCache>
                <c:ptCount val="35"/>
                <c:pt idx="0">
                  <c:v>0</c:v>
                </c:pt>
                <c:pt idx="1">
                  <c:v>0-29</c:v>
                </c:pt>
                <c:pt idx="2">
                  <c:v>30-59</c:v>
                </c:pt>
                <c:pt idx="3">
                  <c:v>60-89</c:v>
                </c:pt>
                <c:pt idx="4">
                  <c:v>90-119</c:v>
                </c:pt>
                <c:pt idx="5">
                  <c:v>120-149</c:v>
                </c:pt>
                <c:pt idx="6">
                  <c:v>150-179</c:v>
                </c:pt>
                <c:pt idx="7">
                  <c:v>180-209</c:v>
                </c:pt>
                <c:pt idx="8">
                  <c:v>210-239</c:v>
                </c:pt>
                <c:pt idx="9">
                  <c:v>240-269</c:v>
                </c:pt>
                <c:pt idx="10">
                  <c:v>270-299</c:v>
                </c:pt>
                <c:pt idx="11">
                  <c:v>300-329</c:v>
                </c:pt>
                <c:pt idx="12">
                  <c:v>330-359</c:v>
                </c:pt>
                <c:pt idx="13">
                  <c:v>360-389</c:v>
                </c:pt>
                <c:pt idx="14">
                  <c:v>390-419</c:v>
                </c:pt>
                <c:pt idx="15">
                  <c:v>420-449</c:v>
                </c:pt>
                <c:pt idx="16">
                  <c:v>450-479</c:v>
                </c:pt>
                <c:pt idx="17">
                  <c:v>480-509</c:v>
                </c:pt>
                <c:pt idx="18">
                  <c:v>510-539</c:v>
                </c:pt>
                <c:pt idx="19">
                  <c:v>540-569</c:v>
                </c:pt>
                <c:pt idx="20">
                  <c:v>570-599</c:v>
                </c:pt>
                <c:pt idx="21">
                  <c:v>600-629</c:v>
                </c:pt>
                <c:pt idx="22">
                  <c:v>630-659</c:v>
                </c:pt>
                <c:pt idx="23">
                  <c:v>660-689</c:v>
                </c:pt>
                <c:pt idx="24">
                  <c:v>690-719</c:v>
                </c:pt>
                <c:pt idx="25">
                  <c:v>720-749</c:v>
                </c:pt>
                <c:pt idx="26">
                  <c:v>750-779</c:v>
                </c:pt>
                <c:pt idx="27">
                  <c:v>780-809</c:v>
                </c:pt>
                <c:pt idx="28">
                  <c:v>810-839</c:v>
                </c:pt>
                <c:pt idx="29">
                  <c:v>840-869</c:v>
                </c:pt>
                <c:pt idx="30">
                  <c:v>870-899</c:v>
                </c:pt>
                <c:pt idx="31">
                  <c:v>900-929</c:v>
                </c:pt>
                <c:pt idx="32">
                  <c:v>930-959</c:v>
                </c:pt>
                <c:pt idx="33">
                  <c:v>960-989</c:v>
                </c:pt>
                <c:pt idx="34">
                  <c:v>&gt;990</c:v>
                </c:pt>
              </c:strCache>
            </c:strRef>
          </c:cat>
          <c:val>
            <c:numRef>
              <c:f>Sheet1!$B$2:$B$36</c:f>
              <c:numCache>
                <c:formatCode>General</c:formatCode>
                <c:ptCount val="35"/>
                <c:pt idx="0">
                  <c:v>0</c:v>
                </c:pt>
                <c:pt idx="1">
                  <c:v>55</c:v>
                </c:pt>
                <c:pt idx="2">
                  <c:v>75</c:v>
                </c:pt>
                <c:pt idx="3">
                  <c:v>95</c:v>
                </c:pt>
                <c:pt idx="4">
                  <c:v>108</c:v>
                </c:pt>
                <c:pt idx="5">
                  <c:v>166</c:v>
                </c:pt>
                <c:pt idx="6">
                  <c:v>164</c:v>
                </c:pt>
                <c:pt idx="7">
                  <c:v>160</c:v>
                </c:pt>
                <c:pt idx="8">
                  <c:v>133</c:v>
                </c:pt>
                <c:pt idx="9">
                  <c:v>122</c:v>
                </c:pt>
                <c:pt idx="10">
                  <c:v>101</c:v>
                </c:pt>
                <c:pt idx="11">
                  <c:v>80</c:v>
                </c:pt>
                <c:pt idx="12">
                  <c:v>61</c:v>
                </c:pt>
                <c:pt idx="13">
                  <c:v>50</c:v>
                </c:pt>
                <c:pt idx="14">
                  <c:v>45</c:v>
                </c:pt>
                <c:pt idx="15">
                  <c:v>34</c:v>
                </c:pt>
                <c:pt idx="16">
                  <c:v>34</c:v>
                </c:pt>
                <c:pt idx="17">
                  <c:v>21</c:v>
                </c:pt>
                <c:pt idx="18">
                  <c:v>16</c:v>
                </c:pt>
                <c:pt idx="19">
                  <c:v>19</c:v>
                </c:pt>
                <c:pt idx="20">
                  <c:v>13</c:v>
                </c:pt>
                <c:pt idx="21">
                  <c:v>7</c:v>
                </c:pt>
                <c:pt idx="22">
                  <c:v>7</c:v>
                </c:pt>
                <c:pt idx="23">
                  <c:v>4</c:v>
                </c:pt>
                <c:pt idx="24">
                  <c:v>11</c:v>
                </c:pt>
                <c:pt idx="25">
                  <c:v>6</c:v>
                </c:pt>
                <c:pt idx="26">
                  <c:v>2</c:v>
                </c:pt>
                <c:pt idx="27">
                  <c:v>4</c:v>
                </c:pt>
                <c:pt idx="28">
                  <c:v>4</c:v>
                </c:pt>
                <c:pt idx="29">
                  <c:v>0</c:v>
                </c:pt>
                <c:pt idx="30">
                  <c:v>1</c:v>
                </c:pt>
                <c:pt idx="31">
                  <c:v>0</c:v>
                </c:pt>
                <c:pt idx="32">
                  <c:v>0</c:v>
                </c:pt>
                <c:pt idx="33">
                  <c:v>0</c:v>
                </c:pt>
                <c:pt idx="34">
                  <c:v>0</c:v>
                </c:pt>
              </c:numCache>
            </c:numRef>
          </c:val>
          <c:extLst>
            <c:ext xmlns:c16="http://schemas.microsoft.com/office/drawing/2014/chart" uri="{C3380CC4-5D6E-409C-BE32-E72D297353CC}">
              <c16:uniqueId val="{00000000-2268-4DAD-917A-20A2E617B2C5}"/>
            </c:ext>
          </c:extLst>
        </c:ser>
        <c:dLbls>
          <c:showLegendKey val="0"/>
          <c:showVal val="0"/>
          <c:showCatName val="0"/>
          <c:showSerName val="0"/>
          <c:showPercent val="0"/>
          <c:showBubbleSize val="0"/>
        </c:dLbls>
        <c:gapWidth val="150"/>
        <c:overlap val="100"/>
        <c:axId val="686813232"/>
        <c:axId val="686814408"/>
      </c:barChart>
      <c:catAx>
        <c:axId val="686813232"/>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Calendar days</a:t>
                </a:r>
              </a:p>
            </c:rich>
          </c:tx>
          <c:layout>
            <c:manualLayout>
              <c:xMode val="edge"/>
              <c:yMode val="edge"/>
              <c:x val="0.44497346922543773"/>
              <c:y val="0.9171130412822108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86814408"/>
        <c:crosses val="autoZero"/>
        <c:auto val="1"/>
        <c:lblAlgn val="ctr"/>
        <c:lblOffset val="100"/>
        <c:noMultiLvlLbl val="0"/>
      </c:catAx>
      <c:valAx>
        <c:axId val="686814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Frequency</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86813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External time to staff</a:t>
            </a:r>
          </a:p>
          <a:p>
            <a:pPr>
              <a:defRPr sz="1200"/>
            </a:pPr>
            <a:r>
              <a:rPr lang="en-CA" sz="1200"/>
              <a:t>Indigenous and Northern Affairs Canada median = 248 days</a:t>
            </a:r>
          </a:p>
          <a:p>
            <a:pPr>
              <a:defRPr sz="1200"/>
            </a:pPr>
            <a:r>
              <a:rPr lang="en-CA" sz="1200"/>
              <a:t> 2019-2020</a:t>
            </a:r>
          </a:p>
        </c:rich>
      </c:tx>
      <c:layout>
        <c:manualLayout>
          <c:xMode val="edge"/>
          <c:yMode val="edge"/>
          <c:x val="0.12176046176046176"/>
          <c:y val="8.2001605469419411E-3"/>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560475395121065"/>
          <c:y val="0.21433521840697753"/>
          <c:w val="0.85778504959607327"/>
          <c:h val="0.53656772284907683"/>
        </c:manualLayout>
      </c:layout>
      <c:barChart>
        <c:barDir val="col"/>
        <c:grouping val="stacked"/>
        <c:varyColors val="0"/>
        <c:ser>
          <c:idx val="0"/>
          <c:order val="0"/>
          <c:tx>
            <c:strRef>
              <c:f>Sheet1!$B$1</c:f>
              <c:strCache>
                <c:ptCount val="1"/>
                <c:pt idx="0">
                  <c:v>Duration in Calendar Days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Sheet1!$A$2:$A$36</c:f>
              <c:strCache>
                <c:ptCount val="35"/>
                <c:pt idx="0">
                  <c:v>0</c:v>
                </c:pt>
                <c:pt idx="1">
                  <c:v>0-29</c:v>
                </c:pt>
                <c:pt idx="2">
                  <c:v>30-59</c:v>
                </c:pt>
                <c:pt idx="3">
                  <c:v>60-89</c:v>
                </c:pt>
                <c:pt idx="4">
                  <c:v>90-119</c:v>
                </c:pt>
                <c:pt idx="5">
                  <c:v>120-149</c:v>
                </c:pt>
                <c:pt idx="6">
                  <c:v>150-179</c:v>
                </c:pt>
                <c:pt idx="7">
                  <c:v>180-209</c:v>
                </c:pt>
                <c:pt idx="8">
                  <c:v>210-239</c:v>
                </c:pt>
                <c:pt idx="9">
                  <c:v>240-269</c:v>
                </c:pt>
                <c:pt idx="10">
                  <c:v>270-299</c:v>
                </c:pt>
                <c:pt idx="11">
                  <c:v>300-329</c:v>
                </c:pt>
                <c:pt idx="12">
                  <c:v>330-359</c:v>
                </c:pt>
                <c:pt idx="13">
                  <c:v>360-389</c:v>
                </c:pt>
                <c:pt idx="14">
                  <c:v>390-419</c:v>
                </c:pt>
                <c:pt idx="15">
                  <c:v>420-449</c:v>
                </c:pt>
                <c:pt idx="16">
                  <c:v>450-479</c:v>
                </c:pt>
                <c:pt idx="17">
                  <c:v>480-509</c:v>
                </c:pt>
                <c:pt idx="18">
                  <c:v>510-539</c:v>
                </c:pt>
                <c:pt idx="19">
                  <c:v>540-569</c:v>
                </c:pt>
                <c:pt idx="20">
                  <c:v>570-599</c:v>
                </c:pt>
                <c:pt idx="21">
                  <c:v>600-629</c:v>
                </c:pt>
                <c:pt idx="22">
                  <c:v>630-659</c:v>
                </c:pt>
                <c:pt idx="23">
                  <c:v>660-689</c:v>
                </c:pt>
                <c:pt idx="24">
                  <c:v>690-719</c:v>
                </c:pt>
                <c:pt idx="25">
                  <c:v>720-749</c:v>
                </c:pt>
                <c:pt idx="26">
                  <c:v>750-779</c:v>
                </c:pt>
                <c:pt idx="27">
                  <c:v>780-809</c:v>
                </c:pt>
                <c:pt idx="28">
                  <c:v>810-839</c:v>
                </c:pt>
                <c:pt idx="29">
                  <c:v>840-869</c:v>
                </c:pt>
                <c:pt idx="30">
                  <c:v>870-899</c:v>
                </c:pt>
                <c:pt idx="31">
                  <c:v>900-929</c:v>
                </c:pt>
                <c:pt idx="32">
                  <c:v>930-959</c:v>
                </c:pt>
                <c:pt idx="33">
                  <c:v>960-989</c:v>
                </c:pt>
                <c:pt idx="34">
                  <c:v>&gt;990</c:v>
                </c:pt>
              </c:strCache>
            </c:strRef>
          </c:cat>
          <c:val>
            <c:numRef>
              <c:f>Sheet1!$B$2:$B$36</c:f>
              <c:numCache>
                <c:formatCode>General</c:formatCode>
                <c:ptCount val="35"/>
                <c:pt idx="1">
                  <c:v>1</c:v>
                </c:pt>
                <c:pt idx="2">
                  <c:v>2</c:v>
                </c:pt>
                <c:pt idx="3">
                  <c:v>4</c:v>
                </c:pt>
                <c:pt idx="4">
                  <c:v>0</c:v>
                </c:pt>
                <c:pt idx="5">
                  <c:v>3</c:v>
                </c:pt>
                <c:pt idx="6">
                  <c:v>6</c:v>
                </c:pt>
                <c:pt idx="7">
                  <c:v>4</c:v>
                </c:pt>
                <c:pt idx="8">
                  <c:v>5</c:v>
                </c:pt>
                <c:pt idx="9">
                  <c:v>7</c:v>
                </c:pt>
                <c:pt idx="10">
                  <c:v>3</c:v>
                </c:pt>
                <c:pt idx="11">
                  <c:v>4</c:v>
                </c:pt>
                <c:pt idx="12">
                  <c:v>4</c:v>
                </c:pt>
                <c:pt idx="13">
                  <c:v>5</c:v>
                </c:pt>
                <c:pt idx="14">
                  <c:v>1</c:v>
                </c:pt>
                <c:pt idx="15">
                  <c:v>2</c:v>
                </c:pt>
                <c:pt idx="16">
                  <c:v>1</c:v>
                </c:pt>
                <c:pt idx="17">
                  <c:v>1</c:v>
                </c:pt>
                <c:pt idx="18">
                  <c:v>2</c:v>
                </c:pt>
                <c:pt idx="19">
                  <c:v>0</c:v>
                </c:pt>
                <c:pt idx="20">
                  <c:v>1</c:v>
                </c:pt>
                <c:pt idx="21">
                  <c:v>0</c:v>
                </c:pt>
                <c:pt idx="22">
                  <c:v>0</c:v>
                </c:pt>
                <c:pt idx="23">
                  <c:v>0</c:v>
                </c:pt>
                <c:pt idx="24">
                  <c:v>1</c:v>
                </c:pt>
                <c:pt idx="25">
                  <c:v>0</c:v>
                </c:pt>
                <c:pt idx="26">
                  <c:v>0</c:v>
                </c:pt>
                <c:pt idx="27">
                  <c:v>1</c:v>
                </c:pt>
                <c:pt idx="28">
                  <c:v>1</c:v>
                </c:pt>
                <c:pt idx="29">
                  <c:v>0</c:v>
                </c:pt>
                <c:pt idx="30">
                  <c:v>0</c:v>
                </c:pt>
                <c:pt idx="31">
                  <c:v>0</c:v>
                </c:pt>
                <c:pt idx="32">
                  <c:v>0</c:v>
                </c:pt>
                <c:pt idx="33">
                  <c:v>0</c:v>
                </c:pt>
                <c:pt idx="34">
                  <c:v>0</c:v>
                </c:pt>
              </c:numCache>
            </c:numRef>
          </c:val>
          <c:extLst>
            <c:ext xmlns:c16="http://schemas.microsoft.com/office/drawing/2014/chart" uri="{C3380CC4-5D6E-409C-BE32-E72D297353CC}">
              <c16:uniqueId val="{00000000-56BF-4A12-B2F1-AE5B7BA48CC4}"/>
            </c:ext>
          </c:extLst>
        </c:ser>
        <c:dLbls>
          <c:showLegendKey val="0"/>
          <c:showVal val="0"/>
          <c:showCatName val="0"/>
          <c:showSerName val="0"/>
          <c:showPercent val="0"/>
          <c:showBubbleSize val="0"/>
        </c:dLbls>
        <c:gapWidth val="150"/>
        <c:overlap val="100"/>
        <c:axId val="686820288"/>
        <c:axId val="686814016"/>
      </c:barChart>
      <c:catAx>
        <c:axId val="686820288"/>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Calendar Days</a:t>
                </a:r>
              </a:p>
            </c:rich>
          </c:tx>
          <c:layout>
            <c:manualLayout>
              <c:xMode val="edge"/>
              <c:yMode val="edge"/>
              <c:x val="0.44497346922543773"/>
              <c:y val="0.9171130412822108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86814016"/>
        <c:crosses val="autoZero"/>
        <c:auto val="1"/>
        <c:lblAlgn val="ctr"/>
        <c:lblOffset val="100"/>
        <c:noMultiLvlLbl val="0"/>
      </c:catAx>
      <c:valAx>
        <c:axId val="686814016"/>
        <c:scaling>
          <c:orientation val="minMax"/>
        </c:scaling>
        <c:delete val="0"/>
        <c:axPos val="l"/>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Frequency</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86820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Population by language requirements as of March 31, 2020 (N=5 470)</a:t>
            </a:r>
          </a:p>
        </c:rich>
      </c:tx>
      <c:layout>
        <c:manualLayout>
          <c:xMode val="edge"/>
          <c:yMode val="edge"/>
          <c:x val="0.13994491885697385"/>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4.3280823059401084E-2"/>
          <c:y val="0.33824261769633712"/>
          <c:w val="0.8981066627234976"/>
          <c:h val="0.59516739173483535"/>
        </c:manualLayout>
      </c:layout>
      <c:pieChart>
        <c:varyColors val="1"/>
        <c:ser>
          <c:idx val="0"/>
          <c:order val="0"/>
          <c:tx>
            <c:strRef>
              <c:f>Sheet1!$B$1</c:f>
              <c:strCache>
                <c:ptCount val="1"/>
                <c:pt idx="0">
                  <c:v>Population by Language Requirements as of March 31, 2016</c:v>
                </c:pt>
              </c:strCache>
            </c:strRef>
          </c:tx>
          <c:dPt>
            <c:idx val="0"/>
            <c:bubble3D val="0"/>
            <c:spPr>
              <a:solidFill>
                <a:schemeClr val="accent2"/>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574F-4007-A960-F927F502AF5D}"/>
              </c:ext>
            </c:extLst>
          </c:dPt>
          <c:dPt>
            <c:idx val="1"/>
            <c:bubble3D val="0"/>
            <c:spPr>
              <a:solidFill>
                <a:schemeClr val="accent1"/>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574F-4007-A960-F927F502AF5D}"/>
              </c:ext>
            </c:extLst>
          </c:dPt>
          <c:dLbls>
            <c:dLbl>
              <c:idx val="0"/>
              <c:layout>
                <c:manualLayout>
                  <c:x val="-0.1087378640776699"/>
                  <c:y val="-0.15504604574155997"/>
                </c:manualLayout>
              </c:layout>
              <c:showLegendKey val="0"/>
              <c:showVal val="0"/>
              <c:showCatName val="1"/>
              <c:showSerName val="0"/>
              <c:showPercent val="1"/>
              <c:showBubbleSize val="0"/>
              <c:extLst>
                <c:ext xmlns:c15="http://schemas.microsoft.com/office/drawing/2012/chart" uri="{CE6537A1-D6FC-4f65-9D91-7224C49458BB}">
                  <c15:layout>
                    <c:manualLayout>
                      <c:w val="0.340414402425049"/>
                      <c:h val="0.18644044267606294"/>
                    </c:manualLayout>
                  </c15:layout>
                </c:ext>
                <c:ext xmlns:c16="http://schemas.microsoft.com/office/drawing/2014/chart" uri="{C3380CC4-5D6E-409C-BE32-E72D297353CC}">
                  <c16:uniqueId val="{00000001-574F-4007-A960-F927F502AF5D}"/>
                </c:ext>
              </c:extLst>
            </c:dLbl>
            <c:dLbl>
              <c:idx val="1"/>
              <c:layout>
                <c:manualLayout>
                  <c:x val="0.17864077669902911"/>
                  <c:y val="0.15324320848278716"/>
                </c:manualLayout>
              </c:layout>
              <c:showLegendKey val="0"/>
              <c:showVal val="0"/>
              <c:showCatName val="1"/>
              <c:showSerName val="0"/>
              <c:showPercent val="1"/>
              <c:showBubbleSize val="0"/>
              <c:extLst>
                <c:ext xmlns:c15="http://schemas.microsoft.com/office/drawing/2012/chart" uri="{CE6537A1-D6FC-4f65-9D91-7224C49458BB}">
                  <c15:layout>
                    <c:manualLayout>
                      <c:w val="0.38145539906103287"/>
                      <c:h val="0.18667358050298158"/>
                    </c:manualLayout>
                  </c15:layout>
                </c:ext>
                <c:ext xmlns:c16="http://schemas.microsoft.com/office/drawing/2014/chart" uri="{C3380CC4-5D6E-409C-BE32-E72D297353CC}">
                  <c16:uniqueId val="{00000003-574F-4007-A960-F927F502AF5D}"/>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Bilingual </c:v>
                </c:pt>
                <c:pt idx="1">
                  <c:v>Unilingual</c:v>
                </c:pt>
              </c:strCache>
            </c:strRef>
          </c:cat>
          <c:val>
            <c:numRef>
              <c:f>Sheet1!$B$2:$B$3</c:f>
              <c:numCache>
                <c:formatCode>0</c:formatCode>
                <c:ptCount val="2"/>
                <c:pt idx="0">
                  <c:v>1708</c:v>
                </c:pt>
                <c:pt idx="1">
                  <c:v>2835</c:v>
                </c:pt>
              </c:numCache>
            </c:numRef>
          </c:val>
          <c:extLst>
            <c:ext xmlns:c16="http://schemas.microsoft.com/office/drawing/2014/chart" uri="{C3380CC4-5D6E-409C-BE32-E72D297353CC}">
              <c16:uniqueId val="{00000004-574F-4007-A960-F927F502AF5D}"/>
            </c:ext>
          </c:extLst>
        </c:ser>
        <c:dLbls>
          <c:showLegendKey val="0"/>
          <c:showVal val="0"/>
          <c:showCatName val="0"/>
          <c:showSerName val="0"/>
          <c:showPercent val="0"/>
          <c:showBubbleSize val="0"/>
          <c:showLeaderLines val="1"/>
        </c:dLbls>
        <c:firstSliceAng val="57"/>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US" sz="1200">
                <a:solidFill>
                  <a:sysClr val="windowText" lastClr="000000"/>
                </a:solidFill>
              </a:rPr>
              <a:t>Population by occupational</a:t>
            </a:r>
            <a:r>
              <a:rPr lang="en-US" sz="1200" baseline="0">
                <a:solidFill>
                  <a:sysClr val="windowText" lastClr="000000"/>
                </a:solidFill>
              </a:rPr>
              <a:t> group</a:t>
            </a:r>
            <a:r>
              <a:rPr lang="en-US" sz="1200">
                <a:solidFill>
                  <a:sysClr val="windowText" lastClr="000000"/>
                </a:solidFill>
              </a:rPr>
              <a:t> as of March 31, 2020</a:t>
            </a:r>
          </a:p>
          <a:p>
            <a:pPr>
              <a:defRPr sz="1200" b="1">
                <a:solidFill>
                  <a:sysClr val="windowText" lastClr="000000"/>
                </a:solidFill>
              </a:defRPr>
            </a:pPr>
            <a:r>
              <a:rPr lang="en-US" sz="1200">
                <a:solidFill>
                  <a:sysClr val="windowText" lastClr="000000"/>
                </a:solidFill>
              </a:rPr>
              <a:t>(N=5 470)</a:t>
            </a:r>
          </a:p>
        </c:rich>
      </c:tx>
      <c:layout>
        <c:manualLayout>
          <c:xMode val="edge"/>
          <c:yMode val="edge"/>
          <c:x val="0.11600531316564154"/>
          <c:y val="5.1079996323416775E-3"/>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3.2974677048050557E-2"/>
          <c:y val="0.30179943484886967"/>
          <c:w val="0.93955862026122472"/>
          <c:h val="0.62025549540682412"/>
        </c:manualLayout>
      </c:layout>
      <c:pieChart>
        <c:varyColors val="1"/>
        <c:ser>
          <c:idx val="0"/>
          <c:order val="0"/>
          <c:tx>
            <c:strRef>
              <c:f>Sheet1!$B$1</c:f>
              <c:strCache>
                <c:ptCount val="1"/>
                <c:pt idx="0">
                  <c:v>Population by Occupational Group as of March 31, 2016</c:v>
                </c:pt>
              </c:strCache>
            </c:strRef>
          </c:tx>
          <c:spPr>
            <a:ln w="3175"/>
          </c:spPr>
          <c:dPt>
            <c:idx val="0"/>
            <c:bubble3D val="0"/>
            <c:spPr>
              <a:solidFill>
                <a:schemeClr val="accent2"/>
              </a:solidFill>
              <a:ln w="3175">
                <a:solidFill>
                  <a:schemeClr val="lt1"/>
                </a:solidFill>
              </a:ln>
              <a:effectLst/>
            </c:spPr>
            <c:extLst>
              <c:ext xmlns:c16="http://schemas.microsoft.com/office/drawing/2014/chart" uri="{C3380CC4-5D6E-409C-BE32-E72D297353CC}">
                <c16:uniqueId val="{00000001-CA9A-4BCD-B12B-E55FE8D33C95}"/>
              </c:ext>
            </c:extLst>
          </c:dPt>
          <c:dPt>
            <c:idx val="1"/>
            <c:bubble3D val="0"/>
            <c:spPr>
              <a:solidFill>
                <a:schemeClr val="accent1"/>
              </a:solidFill>
              <a:ln w="3175">
                <a:solidFill>
                  <a:schemeClr val="lt1"/>
                </a:solidFill>
              </a:ln>
              <a:effectLst/>
            </c:spPr>
            <c:extLst>
              <c:ext xmlns:c16="http://schemas.microsoft.com/office/drawing/2014/chart" uri="{C3380CC4-5D6E-409C-BE32-E72D297353CC}">
                <c16:uniqueId val="{00000003-CA9A-4BCD-B12B-E55FE8D33C95}"/>
              </c:ext>
            </c:extLst>
          </c:dPt>
          <c:dPt>
            <c:idx val="2"/>
            <c:bubble3D val="0"/>
            <c:spPr>
              <a:solidFill>
                <a:schemeClr val="accent6">
                  <a:lumMod val="40000"/>
                  <a:lumOff val="60000"/>
                </a:schemeClr>
              </a:solidFill>
              <a:ln w="3175">
                <a:solidFill>
                  <a:schemeClr val="lt1"/>
                </a:solidFill>
              </a:ln>
              <a:effectLst/>
            </c:spPr>
            <c:extLst>
              <c:ext xmlns:c16="http://schemas.microsoft.com/office/drawing/2014/chart" uri="{C3380CC4-5D6E-409C-BE32-E72D297353CC}">
                <c16:uniqueId val="{00000005-CA9A-4BCD-B12B-E55FE8D33C95}"/>
              </c:ext>
            </c:extLst>
          </c:dPt>
          <c:dPt>
            <c:idx val="3"/>
            <c:bubble3D val="0"/>
            <c:spPr>
              <a:solidFill>
                <a:schemeClr val="accent4"/>
              </a:solidFill>
              <a:ln w="3175">
                <a:solidFill>
                  <a:schemeClr val="lt1"/>
                </a:solidFill>
              </a:ln>
              <a:effectLst/>
            </c:spPr>
            <c:extLst>
              <c:ext xmlns:c16="http://schemas.microsoft.com/office/drawing/2014/chart" uri="{C3380CC4-5D6E-409C-BE32-E72D297353CC}">
                <c16:uniqueId val="{00000007-CA9A-4BCD-B12B-E55FE8D33C95}"/>
              </c:ext>
            </c:extLst>
          </c:dPt>
          <c:dPt>
            <c:idx val="4"/>
            <c:bubble3D val="0"/>
            <c:spPr>
              <a:solidFill>
                <a:schemeClr val="accent6"/>
              </a:solidFill>
              <a:ln w="3175">
                <a:solidFill>
                  <a:schemeClr val="lt1"/>
                </a:solidFill>
              </a:ln>
              <a:effectLst/>
            </c:spPr>
            <c:extLst>
              <c:ext xmlns:c16="http://schemas.microsoft.com/office/drawing/2014/chart" uri="{C3380CC4-5D6E-409C-BE32-E72D297353CC}">
                <c16:uniqueId val="{00000009-CA9A-4BCD-B12B-E55FE8D33C95}"/>
              </c:ext>
            </c:extLst>
          </c:dPt>
          <c:dLbls>
            <c:dLbl>
              <c:idx val="0"/>
              <c:layout>
                <c:manualLayout>
                  <c:x val="8.3885504877927994E-2"/>
                  <c:y val="-0.13634241245136186"/>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CA9A-4BCD-B12B-E55FE8D33C95}"/>
                </c:ext>
              </c:extLst>
            </c:dLbl>
            <c:dLbl>
              <c:idx val="1"/>
              <c:layout>
                <c:manualLayout>
                  <c:x val="0.11137522903976625"/>
                  <c:y val="6.0381751891908451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CA9A-4BCD-B12B-E55FE8D33C95}"/>
                </c:ext>
              </c:extLst>
            </c:dLbl>
            <c:dLbl>
              <c:idx val="2"/>
              <c:layout>
                <c:manualLayout>
                  <c:x val="0.19654119001634229"/>
                  <c:y val="0.18525730976234969"/>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1705897135198526"/>
                      <c:h val="0.18653716923516855"/>
                    </c:manualLayout>
                  </c15:layout>
                </c:ext>
                <c:ext xmlns:c16="http://schemas.microsoft.com/office/drawing/2014/chart" uri="{C3380CC4-5D6E-409C-BE32-E72D297353CC}">
                  <c16:uniqueId val="{00000005-CA9A-4BCD-B12B-E55FE8D33C95}"/>
                </c:ext>
              </c:extLst>
            </c:dLbl>
            <c:dLbl>
              <c:idx val="3"/>
              <c:layout>
                <c:manualLayout>
                  <c:x val="-0.18907851730797801"/>
                  <c:y val="0.16762931870870221"/>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fld id="{6A93BC20-ECB7-4BD6-9DD4-E5D73992F7B8}" type="CATEGORYNAME">
                      <a:rPr lang="en-US">
                        <a:solidFill>
                          <a:sysClr val="windowText" lastClr="000000"/>
                        </a:solidFill>
                      </a:rPr>
                      <a:pPr>
                        <a:defRPr b="1">
                          <a:solidFill>
                            <a:schemeClr val="bg1"/>
                          </a:solidFill>
                        </a:defRPr>
                      </a:pPr>
                      <a:t>[CATEGORY NAME]</a:t>
                    </a:fld>
                    <a:r>
                      <a:rPr lang="en-US" baseline="0"/>
                      <a:t>
</a:t>
                    </a:r>
                    <a:fld id="{D436A4D9-644B-4E59-928B-2FD6DF09571A}" type="PERCENTAGE">
                      <a:rPr lang="en-US" baseline="0">
                        <a:solidFill>
                          <a:sysClr val="windowText" lastClr="000000"/>
                        </a:solidFill>
                      </a:rPr>
                      <a:pPr>
                        <a:defRPr b="1">
                          <a:solidFill>
                            <a:schemeClr val="bg1"/>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0205167173252284"/>
                      <c:h val="0.13359273670557717"/>
                    </c:manualLayout>
                  </c15:layout>
                  <c15:dlblFieldTable/>
                  <c15:showDataLabelsRange val="0"/>
                </c:ext>
                <c:ext xmlns:c16="http://schemas.microsoft.com/office/drawing/2014/chart" uri="{C3380CC4-5D6E-409C-BE32-E72D297353CC}">
                  <c16:uniqueId val="{00000007-CA9A-4BCD-B12B-E55FE8D33C95}"/>
                </c:ext>
              </c:extLst>
            </c:dLbl>
            <c:dLbl>
              <c:idx val="4"/>
              <c:layout>
                <c:manualLayout>
                  <c:x val="-5.5031446540880505E-2"/>
                  <c:y val="3.299570044016862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707547169811323"/>
                      <c:h val="0.14915693904020752"/>
                    </c:manualLayout>
                  </c15:layout>
                </c:ext>
                <c:ext xmlns:c16="http://schemas.microsoft.com/office/drawing/2014/chart" uri="{C3380CC4-5D6E-409C-BE32-E72D297353CC}">
                  <c16:uniqueId val="{00000009-CA9A-4BCD-B12B-E55FE8D33C9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PM</c:v>
                </c:pt>
                <c:pt idx="1">
                  <c:v>AS</c:v>
                </c:pt>
                <c:pt idx="2">
                  <c:v>EC</c:v>
                </c:pt>
                <c:pt idx="3">
                  <c:v>CR</c:v>
                </c:pt>
                <c:pt idx="4">
                  <c:v>Other</c:v>
                </c:pt>
              </c:strCache>
            </c:strRef>
          </c:cat>
          <c:val>
            <c:numRef>
              <c:f>Sheet1!$B$2:$B$6</c:f>
              <c:numCache>
                <c:formatCode>General</c:formatCode>
                <c:ptCount val="5"/>
                <c:pt idx="0">
                  <c:v>1357</c:v>
                </c:pt>
                <c:pt idx="1">
                  <c:v>934</c:v>
                </c:pt>
                <c:pt idx="2">
                  <c:v>903</c:v>
                </c:pt>
                <c:pt idx="3">
                  <c:v>432</c:v>
                </c:pt>
                <c:pt idx="4">
                  <c:v>1568</c:v>
                </c:pt>
              </c:numCache>
            </c:numRef>
          </c:val>
          <c:extLst>
            <c:ext xmlns:c16="http://schemas.microsoft.com/office/drawing/2014/chart" uri="{C3380CC4-5D6E-409C-BE32-E72D297353CC}">
              <c16:uniqueId val="{0000000A-CA9A-4BCD-B12B-E55FE8D33C95}"/>
            </c:ext>
          </c:extLst>
        </c:ser>
        <c:dLbls>
          <c:dLblPos val="bestFit"/>
          <c:showLegendKey val="0"/>
          <c:showVal val="1"/>
          <c:showCatName val="0"/>
          <c:showSerName val="0"/>
          <c:showPercent val="0"/>
          <c:showBubbleSize val="0"/>
          <c:showLeaderLines val="1"/>
        </c:dLbls>
        <c:firstSliceAng val="141"/>
      </c:pieChart>
      <c:spPr>
        <a:noFill/>
        <a:ln>
          <a:noFill/>
        </a:ln>
        <a:effectLst/>
      </c:spPr>
    </c:plotArea>
    <c:plotVisOnly val="1"/>
    <c:dispBlanksAs val="gap"/>
    <c:showDLblsOverMax val="0"/>
  </c:chart>
  <c:spPr>
    <a:solidFill>
      <a:schemeClr val="bg1"/>
    </a:solidFill>
    <a:ln w="9525" cap="flat" cmpd="sng" algn="ctr">
      <a:solidFill>
        <a:sysClr val="windowText" lastClr="000000">
          <a:lumMod val="25000"/>
          <a:lumOff val="75000"/>
        </a:sys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Population by region as of March 31, 2020 (N=5 470)</a:t>
            </a:r>
          </a:p>
        </c:rich>
      </c:tx>
      <c:layout>
        <c:manualLayout>
          <c:xMode val="edge"/>
          <c:yMode val="edge"/>
          <c:x val="0.14682869843581692"/>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4.3280593446945889E-2"/>
          <c:y val="0.29300321125920964"/>
          <c:w val="0.8981066627234976"/>
          <c:h val="0.59516739173483535"/>
        </c:manualLayout>
      </c:layout>
      <c:pieChart>
        <c:varyColors val="1"/>
        <c:ser>
          <c:idx val="0"/>
          <c:order val="0"/>
          <c:tx>
            <c:strRef>
              <c:f>Sheet1!$B$1</c:f>
              <c:strCache>
                <c:ptCount val="1"/>
                <c:pt idx="0">
                  <c:v>Population by Language Requirements as of March 31, 2016</c:v>
                </c:pt>
              </c:strCache>
            </c:strRef>
          </c:tx>
          <c:dPt>
            <c:idx val="0"/>
            <c:bubble3D val="0"/>
            <c:spPr>
              <a:solidFill>
                <a:schemeClr val="accent2"/>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DAE1-4E1E-8DE0-105E6204890D}"/>
              </c:ext>
            </c:extLst>
          </c:dPt>
          <c:dPt>
            <c:idx val="1"/>
            <c:bubble3D val="0"/>
            <c:spPr>
              <a:solidFill>
                <a:schemeClr val="accent1"/>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DAE1-4E1E-8DE0-105E6204890D}"/>
              </c:ext>
            </c:extLst>
          </c:dPt>
          <c:dLbls>
            <c:dLbl>
              <c:idx val="0"/>
              <c:layout>
                <c:manualLayout>
                  <c:x val="0.22350674373795762"/>
                  <c:y val="1.037075447238786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AE1-4E1E-8DE0-105E6204890D}"/>
                </c:ext>
              </c:extLst>
            </c:dLbl>
            <c:dLbl>
              <c:idx val="1"/>
              <c:layout>
                <c:manualLayout>
                  <c:x val="-6.1657336185577956E-2"/>
                  <c:y val="3.311292077601008E-2"/>
                </c:manualLayout>
              </c:layout>
              <c:showLegendKey val="0"/>
              <c:showVal val="0"/>
              <c:showCatName val="1"/>
              <c:showSerName val="0"/>
              <c:showPercent val="1"/>
              <c:showBubbleSize val="0"/>
              <c:extLst>
                <c:ext xmlns:c15="http://schemas.microsoft.com/office/drawing/2012/chart" uri="{CE6537A1-D6FC-4f65-9D91-7224C49458BB}">
                  <c15:layout>
                    <c:manualLayout>
                      <c:w val="0.39828076403744322"/>
                      <c:h val="0.19315530204822404"/>
                    </c:manualLayout>
                  </c15:layout>
                </c:ext>
                <c:ext xmlns:c16="http://schemas.microsoft.com/office/drawing/2014/chart" uri="{C3380CC4-5D6E-409C-BE32-E72D297353CC}">
                  <c16:uniqueId val="{00000003-DAE1-4E1E-8DE0-105E6204890D}"/>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NCR</c:v>
                </c:pt>
                <c:pt idx="1">
                  <c:v>Non-NCR</c:v>
                </c:pt>
              </c:strCache>
            </c:strRef>
          </c:cat>
          <c:val>
            <c:numRef>
              <c:f>Sheet1!$B$2:$B$3</c:f>
              <c:numCache>
                <c:formatCode>0</c:formatCode>
                <c:ptCount val="2"/>
                <c:pt idx="0">
                  <c:v>2882</c:v>
                </c:pt>
                <c:pt idx="1">
                  <c:v>2387</c:v>
                </c:pt>
              </c:numCache>
            </c:numRef>
          </c:val>
          <c:extLst>
            <c:ext xmlns:c16="http://schemas.microsoft.com/office/drawing/2014/chart" uri="{C3380CC4-5D6E-409C-BE32-E72D297353CC}">
              <c16:uniqueId val="{00000004-DAE1-4E1E-8DE0-105E6204890D}"/>
            </c:ext>
          </c:extLst>
        </c:ser>
        <c:dLbls>
          <c:showLegendKey val="0"/>
          <c:showVal val="0"/>
          <c:showCatName val="0"/>
          <c:showSerName val="0"/>
          <c:showPercent val="0"/>
          <c:showBubbleSize val="0"/>
          <c:showLeaderLines val="1"/>
        </c:dLbls>
        <c:firstSliceAng val="173"/>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US" sz="1200">
                <a:solidFill>
                  <a:sysClr val="windowText" lastClr="000000"/>
                </a:solidFill>
              </a:rPr>
              <a:t>External</a:t>
            </a:r>
            <a:r>
              <a:rPr lang="en-US" sz="1200" baseline="0">
                <a:solidFill>
                  <a:sysClr val="windowText" lastClr="000000"/>
                </a:solidFill>
              </a:rPr>
              <a:t> indeterminate hires by </a:t>
            </a:r>
          </a:p>
          <a:p>
            <a:pPr>
              <a:defRPr sz="1200" b="1">
                <a:solidFill>
                  <a:sysClr val="windowText" lastClr="000000"/>
                </a:solidFill>
              </a:defRPr>
            </a:pPr>
            <a:r>
              <a:rPr lang="en-US" sz="1200" baseline="0">
                <a:solidFill>
                  <a:sysClr val="windowText" lastClr="000000"/>
                </a:solidFill>
              </a:rPr>
              <a:t>occupational</a:t>
            </a:r>
            <a:r>
              <a:rPr lang="en-US" sz="1200">
                <a:solidFill>
                  <a:sysClr val="windowText" lastClr="000000"/>
                </a:solidFill>
              </a:rPr>
              <a:t> group,</a:t>
            </a:r>
          </a:p>
          <a:p>
            <a:pPr>
              <a:defRPr sz="1200" b="1">
                <a:solidFill>
                  <a:sysClr val="windowText" lastClr="000000"/>
                </a:solidFill>
              </a:defRPr>
            </a:pPr>
            <a:r>
              <a:rPr lang="en-US" sz="1200">
                <a:solidFill>
                  <a:sysClr val="windowText" lastClr="000000"/>
                </a:solidFill>
              </a:rPr>
              <a:t> 2019-20 (N=299)</a:t>
            </a:r>
          </a:p>
          <a:p>
            <a:pPr>
              <a:defRPr sz="1200" b="1">
                <a:solidFill>
                  <a:sysClr val="windowText" lastClr="000000"/>
                </a:solidFill>
              </a:defRPr>
            </a:pPr>
            <a:endParaRPr lang="en-US" sz="1200">
              <a:solidFill>
                <a:sysClr val="windowText" lastClr="000000"/>
              </a:solidFill>
            </a:endParaRPr>
          </a:p>
        </c:rich>
      </c:tx>
      <c:layout>
        <c:manualLayout>
          <c:xMode val="edge"/>
          <c:yMode val="edge"/>
          <c:x val="0.14968643412327082"/>
          <c:y val="2.5746584826502987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8.8370295919552713E-2"/>
          <c:y val="0.40163705356847212"/>
          <c:w val="0.8966533531134695"/>
          <c:h val="0.48715812098290862"/>
        </c:manualLayout>
      </c:layout>
      <c:doughnutChart>
        <c:varyColors val="1"/>
        <c:ser>
          <c:idx val="0"/>
          <c:order val="0"/>
          <c:tx>
            <c:strRef>
              <c:f>Sheet1!$B$1</c:f>
              <c:strCache>
                <c:ptCount val="1"/>
                <c:pt idx="0">
                  <c:v>Population by Language Requirements as of March 31, 2016</c:v>
                </c:pt>
              </c:strCache>
            </c:strRef>
          </c:tx>
          <c:spPr>
            <a:solidFill>
              <a:schemeClr val="accent1"/>
            </a:solidFill>
            <a:ln w="6350"/>
          </c:spPr>
          <c:dPt>
            <c:idx val="0"/>
            <c:bubble3D val="0"/>
            <c:spPr>
              <a:solidFill>
                <a:schemeClr val="accent1"/>
              </a:solidFill>
              <a:ln w="6350">
                <a:solidFill>
                  <a:schemeClr val="lt1"/>
                </a:solidFill>
              </a:ln>
              <a:effectLst/>
            </c:spPr>
            <c:extLst>
              <c:ext xmlns:c16="http://schemas.microsoft.com/office/drawing/2014/chart" uri="{C3380CC4-5D6E-409C-BE32-E72D297353CC}">
                <c16:uniqueId val="{00000001-0196-4952-9A26-D1F9CEFA09E8}"/>
              </c:ext>
            </c:extLst>
          </c:dPt>
          <c:dPt>
            <c:idx val="1"/>
            <c:bubble3D val="0"/>
            <c:spPr>
              <a:solidFill>
                <a:schemeClr val="accent6">
                  <a:lumMod val="40000"/>
                  <a:lumOff val="60000"/>
                </a:schemeClr>
              </a:solidFill>
              <a:ln w="6350">
                <a:solidFill>
                  <a:schemeClr val="lt1"/>
                </a:solidFill>
              </a:ln>
              <a:effectLst/>
            </c:spPr>
            <c:extLst>
              <c:ext xmlns:c16="http://schemas.microsoft.com/office/drawing/2014/chart" uri="{C3380CC4-5D6E-409C-BE32-E72D297353CC}">
                <c16:uniqueId val="{00000003-0196-4952-9A26-D1F9CEFA09E8}"/>
              </c:ext>
            </c:extLst>
          </c:dPt>
          <c:dPt>
            <c:idx val="2"/>
            <c:bubble3D val="0"/>
            <c:spPr>
              <a:solidFill>
                <a:schemeClr val="accent2"/>
              </a:solidFill>
              <a:ln w="6350">
                <a:solidFill>
                  <a:schemeClr val="lt1"/>
                </a:solidFill>
              </a:ln>
              <a:effectLst/>
            </c:spPr>
            <c:extLst>
              <c:ext xmlns:c16="http://schemas.microsoft.com/office/drawing/2014/chart" uri="{C3380CC4-5D6E-409C-BE32-E72D297353CC}">
                <c16:uniqueId val="{00000005-0196-4952-9A26-D1F9CEFA09E8}"/>
              </c:ext>
            </c:extLst>
          </c:dPt>
          <c:dPt>
            <c:idx val="3"/>
            <c:bubble3D val="0"/>
            <c:spPr>
              <a:solidFill>
                <a:schemeClr val="accent4"/>
              </a:solidFill>
              <a:ln w="6350">
                <a:solidFill>
                  <a:schemeClr val="lt1"/>
                </a:solidFill>
              </a:ln>
              <a:effectLst/>
            </c:spPr>
            <c:extLst>
              <c:ext xmlns:c16="http://schemas.microsoft.com/office/drawing/2014/chart" uri="{C3380CC4-5D6E-409C-BE32-E72D297353CC}">
                <c16:uniqueId val="{00000007-0196-4952-9A26-D1F9CEFA09E8}"/>
              </c:ext>
            </c:extLst>
          </c:dPt>
          <c:dPt>
            <c:idx val="4"/>
            <c:bubble3D val="0"/>
            <c:spPr>
              <a:solidFill>
                <a:schemeClr val="bg2">
                  <a:lumMod val="75000"/>
                </a:schemeClr>
              </a:solidFill>
              <a:ln w="6350">
                <a:solidFill>
                  <a:schemeClr val="lt1"/>
                </a:solidFill>
              </a:ln>
              <a:effectLst/>
            </c:spPr>
            <c:extLst>
              <c:ext xmlns:c16="http://schemas.microsoft.com/office/drawing/2014/chart" uri="{C3380CC4-5D6E-409C-BE32-E72D297353CC}">
                <c16:uniqueId val="{00000009-0196-4952-9A26-D1F9CEFA09E8}"/>
              </c:ext>
            </c:extLst>
          </c:dPt>
          <c:dPt>
            <c:idx val="5"/>
            <c:bubble3D val="0"/>
            <c:spPr>
              <a:solidFill>
                <a:schemeClr val="accent6"/>
              </a:solidFill>
              <a:ln w="6350">
                <a:solidFill>
                  <a:schemeClr val="lt1"/>
                </a:solidFill>
              </a:ln>
              <a:effectLst/>
            </c:spPr>
            <c:extLst>
              <c:ext xmlns:c16="http://schemas.microsoft.com/office/drawing/2014/chart" uri="{C3380CC4-5D6E-409C-BE32-E72D297353CC}">
                <c16:uniqueId val="{0000000B-0196-4952-9A26-D1F9CEFA09E8}"/>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ln>
                        <a:noFill/>
                      </a:ln>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6="http://schemas.microsoft.com/office/drawing/2014/chart" uri="{C3380CC4-5D6E-409C-BE32-E72D297353CC}">
                  <c16:uniqueId val="{00000003-0196-4952-9A26-D1F9CEFA09E8}"/>
                </c:ext>
              </c:extLst>
            </c:dLbl>
            <c:dLbl>
              <c:idx val="3"/>
              <c:layout>
                <c:manualLayout>
                  <c:x val="0"/>
                  <c:y val="-6.99912510936133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196-4952-9A26-D1F9CEFA09E8}"/>
                </c:ext>
              </c:extLst>
            </c:dLbl>
            <c:dLbl>
              <c:idx val="4"/>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ln>
                        <a:noFill/>
                      </a:ln>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6="http://schemas.microsoft.com/office/drawing/2014/chart" uri="{C3380CC4-5D6E-409C-BE32-E72D297353CC}">
                  <c16:uniqueId val="{00000009-0196-4952-9A26-D1F9CEFA09E8}"/>
                </c:ext>
              </c:extLst>
            </c:dLbl>
            <c:dLbl>
              <c:idx val="5"/>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ln>
                        <a:noFill/>
                      </a:ln>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6="http://schemas.microsoft.com/office/drawing/2014/chart" uri="{C3380CC4-5D6E-409C-BE32-E72D297353CC}">
                  <c16:uniqueId val="{0000000B-0196-4952-9A26-D1F9CEFA09E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ln>
                      <a:noFill/>
                    </a:ln>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AS</c:v>
                </c:pt>
                <c:pt idx="1">
                  <c:v>EC</c:v>
                </c:pt>
                <c:pt idx="2">
                  <c:v>PM</c:v>
                </c:pt>
                <c:pt idx="3">
                  <c:v>CR</c:v>
                </c:pt>
                <c:pt idx="4">
                  <c:v>CS</c:v>
                </c:pt>
                <c:pt idx="5">
                  <c:v>Other</c:v>
                </c:pt>
              </c:strCache>
            </c:strRef>
          </c:cat>
          <c:val>
            <c:numRef>
              <c:f>Sheet1!$B$2:$B$7</c:f>
              <c:numCache>
                <c:formatCode>General</c:formatCode>
                <c:ptCount val="6"/>
                <c:pt idx="0">
                  <c:v>68</c:v>
                </c:pt>
                <c:pt idx="1">
                  <c:v>67</c:v>
                </c:pt>
                <c:pt idx="2">
                  <c:v>36</c:v>
                </c:pt>
                <c:pt idx="3">
                  <c:v>34</c:v>
                </c:pt>
                <c:pt idx="4">
                  <c:v>30</c:v>
                </c:pt>
                <c:pt idx="5">
                  <c:v>64</c:v>
                </c:pt>
              </c:numCache>
            </c:numRef>
          </c:val>
          <c:extLst>
            <c:ext xmlns:c16="http://schemas.microsoft.com/office/drawing/2014/chart" uri="{C3380CC4-5D6E-409C-BE32-E72D297353CC}">
              <c16:uniqueId val="{0000000C-0196-4952-9A26-D1F9CEFA09E8}"/>
            </c:ext>
          </c:extLst>
        </c:ser>
        <c:dLbls>
          <c:showLegendKey val="0"/>
          <c:showVal val="1"/>
          <c:showCatName val="0"/>
          <c:showSerName val="0"/>
          <c:showPercent val="0"/>
          <c:showBubbleSize val="0"/>
          <c:showLeaderLines val="1"/>
        </c:dLbls>
        <c:firstSliceAng val="120"/>
        <c:holeSize val="50"/>
      </c:doughnutChart>
      <c:spPr>
        <a:noFill/>
        <a:ln>
          <a:noFill/>
        </a:ln>
        <a:effectLst/>
      </c:spPr>
    </c:plotArea>
    <c:plotVisOnly val="1"/>
    <c:dispBlanksAs val="gap"/>
    <c:showDLblsOverMax val="0"/>
  </c:chart>
  <c:spPr>
    <a:solidFill>
      <a:schemeClr val="bg1"/>
    </a:solidFill>
    <a:ln w="9525" cap="flat" cmpd="sng" algn="ctr">
      <a:solidFill>
        <a:sysClr val="windowText" lastClr="000000">
          <a:lumMod val="25000"/>
          <a:lumOff val="75000"/>
        </a:sys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Staffing by region</a:t>
            </a:r>
          </a:p>
        </c:rich>
      </c:tx>
      <c:layout>
        <c:manualLayout>
          <c:xMode val="edge"/>
          <c:yMode val="edge"/>
          <c:x val="0.37279671407010045"/>
          <c:y val="4.9989585503020205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587844058759671"/>
          <c:y val="9.4894492045412282E-2"/>
          <c:w val="0.84333349635643373"/>
          <c:h val="0.55474858103818014"/>
        </c:manualLayout>
      </c:layout>
      <c:barChart>
        <c:barDir val="col"/>
        <c:grouping val="clustered"/>
        <c:varyColors val="0"/>
        <c:ser>
          <c:idx val="0"/>
          <c:order val="0"/>
          <c:tx>
            <c:strRef>
              <c:f>Sheet1!$B$1</c:f>
              <c:strCache>
                <c:ptCount val="1"/>
                <c:pt idx="0">
                  <c:v>National Capital Region (NCR)</c:v>
                </c:pt>
              </c:strCache>
            </c:strRef>
          </c:tx>
          <c:spPr>
            <a:solidFill>
              <a:schemeClr val="accent2"/>
            </a:solidFill>
            <a:ln>
              <a:noFill/>
            </a:ln>
            <a:effectLst>
              <a:outerShdw blurRad="57150" dist="19050" dir="5400000" algn="ctr" rotWithShape="0">
                <a:srgbClr val="000000">
                  <a:alpha val="63000"/>
                </a:srgbClr>
              </a:outerShdw>
            </a:effectLst>
          </c:spPr>
          <c:invertIfNegative val="0"/>
          <c:dLbls>
            <c:dLbl>
              <c:idx val="0"/>
              <c:layout>
                <c:manualLayout>
                  <c:x val="-8.3332646246444333E-3"/>
                  <c:y val="1.04950148679377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D1-4F42-AD0B-4E181A37892C}"/>
                </c:ext>
              </c:extLst>
            </c:dLbl>
            <c:dLbl>
              <c:idx val="1"/>
              <c:layout>
                <c:manualLayout>
                  <c:x val="-7.0912699105516808E-3"/>
                  <c:y val="1.04950148679377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D1-4F42-AD0B-4E181A37892C}"/>
                </c:ext>
              </c:extLst>
            </c:dLbl>
            <c:dLbl>
              <c:idx val="2"/>
              <c:layout>
                <c:manualLayout>
                  <c:x val="-4.8428397669804148E-3"/>
                  <c:y val="1.3993353157250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ED1-4F42-AD0B-4E181A37892C}"/>
                </c:ext>
              </c:extLst>
            </c:dLbl>
            <c:dLbl>
              <c:idx val="3"/>
              <c:layout>
                <c:manualLayout>
                  <c:x val="-9.0458066355896209E-3"/>
                  <c:y val="1.04950148679377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ED1-4F42-AD0B-4E181A37892C}"/>
                </c:ext>
              </c:extLst>
            </c:dLbl>
            <c:dLbl>
              <c:idx val="4"/>
              <c:layout>
                <c:manualLayout>
                  <c:x val="-7.7180485477009383E-3"/>
                  <c:y val="1.44150819699224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ED1-4F42-AD0B-4E181A3789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2015-16</c:v>
                </c:pt>
                <c:pt idx="1">
                  <c:v>2016-17</c:v>
                </c:pt>
                <c:pt idx="2">
                  <c:v>2017-18</c:v>
                </c:pt>
                <c:pt idx="3">
                  <c:v>2018-19</c:v>
                </c:pt>
                <c:pt idx="4">
                  <c:v>2019-20</c:v>
                </c:pt>
              </c:strCache>
            </c:strRef>
          </c:cat>
          <c:val>
            <c:numRef>
              <c:f>Sheet1!$B$2:$B$6</c:f>
              <c:numCache>
                <c:formatCode>0%</c:formatCode>
                <c:ptCount val="5"/>
                <c:pt idx="0">
                  <c:v>0.55000000000000004</c:v>
                </c:pt>
                <c:pt idx="1">
                  <c:v>0.56000000000000005</c:v>
                </c:pt>
                <c:pt idx="2">
                  <c:v>0.55000000000000004</c:v>
                </c:pt>
                <c:pt idx="3">
                  <c:v>0.62</c:v>
                </c:pt>
                <c:pt idx="4">
                  <c:v>0.62</c:v>
                </c:pt>
              </c:numCache>
            </c:numRef>
          </c:val>
          <c:extLst>
            <c:ext xmlns:c16="http://schemas.microsoft.com/office/drawing/2014/chart" uri="{C3380CC4-5D6E-409C-BE32-E72D297353CC}">
              <c16:uniqueId val="{00000005-BED1-4F42-AD0B-4E181A37892C}"/>
            </c:ext>
          </c:extLst>
        </c:ser>
        <c:ser>
          <c:idx val="1"/>
          <c:order val="1"/>
          <c:tx>
            <c:strRef>
              <c:f>Sheet1!$C$1</c:f>
              <c:strCache>
                <c:ptCount val="1"/>
                <c:pt idx="0">
                  <c:v>Outside the National Capital Region (Non-NCR)</c:v>
                </c:pt>
              </c:strCache>
            </c:strRef>
          </c:tx>
          <c:spPr>
            <a:solidFill>
              <a:schemeClr val="accent1"/>
            </a:solidFill>
            <a:ln>
              <a:noFill/>
            </a:ln>
            <a:effectLst>
              <a:outerShdw blurRad="57150" dist="19050" dir="5400000" algn="ctr" rotWithShape="0">
                <a:srgbClr val="000000">
                  <a:alpha val="63000"/>
                </a:srgbClr>
              </a:outerShdw>
            </a:effectLst>
          </c:spPr>
          <c:invertIfNegative val="0"/>
          <c:dLbls>
            <c:dLbl>
              <c:idx val="0"/>
              <c:layout>
                <c:manualLayout>
                  <c:x val="1.1496761352724479E-2"/>
                  <c:y val="9.9958818773680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ED1-4F42-AD0B-4E181A37892C}"/>
                </c:ext>
              </c:extLst>
            </c:dLbl>
            <c:dLbl>
              <c:idx val="1"/>
              <c:layout>
                <c:manualLayout>
                  <c:x val="1.0881331075300664E-2"/>
                  <c:y val="1.13384724932822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ED1-4F42-AD0B-4E181A37892C}"/>
                </c:ext>
              </c:extLst>
            </c:dLbl>
            <c:dLbl>
              <c:idx val="2"/>
              <c:layout>
                <c:manualLayout>
                  <c:x val="1.2004236720964203E-2"/>
                  <c:y val="1.5258539595267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ED1-4F42-AD0B-4E181A37892C}"/>
                </c:ext>
              </c:extLst>
            </c:dLbl>
            <c:dLbl>
              <c:idx val="3"/>
              <c:layout>
                <c:manualLayout>
                  <c:x val="1.4781966001478197E-2"/>
                  <c:y val="1.52585395952669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ED1-4F42-AD0B-4E181A37892C}"/>
                </c:ext>
              </c:extLst>
            </c:dLbl>
            <c:dLbl>
              <c:idx val="4"/>
              <c:layout>
                <c:manualLayout>
                  <c:x val="1.8682600927655661E-2"/>
                  <c:y val="1.3993353157250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ED1-4F42-AD0B-4E181A3789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2015-16</c:v>
                </c:pt>
                <c:pt idx="1">
                  <c:v>2016-17</c:v>
                </c:pt>
                <c:pt idx="2">
                  <c:v>2017-18</c:v>
                </c:pt>
                <c:pt idx="3">
                  <c:v>2018-19</c:v>
                </c:pt>
                <c:pt idx="4">
                  <c:v>2019-20</c:v>
                </c:pt>
              </c:strCache>
            </c:strRef>
          </c:cat>
          <c:val>
            <c:numRef>
              <c:f>Sheet1!$C$2:$C$6</c:f>
              <c:numCache>
                <c:formatCode>0%</c:formatCode>
                <c:ptCount val="5"/>
                <c:pt idx="0">
                  <c:v>0.45</c:v>
                </c:pt>
                <c:pt idx="1">
                  <c:v>0.44</c:v>
                </c:pt>
                <c:pt idx="2">
                  <c:v>0.45</c:v>
                </c:pt>
                <c:pt idx="3">
                  <c:v>0.38</c:v>
                </c:pt>
                <c:pt idx="4">
                  <c:v>0.38</c:v>
                </c:pt>
              </c:numCache>
            </c:numRef>
          </c:val>
          <c:extLst>
            <c:ext xmlns:c16="http://schemas.microsoft.com/office/drawing/2014/chart" uri="{C3380CC4-5D6E-409C-BE32-E72D297353CC}">
              <c16:uniqueId val="{0000000B-BED1-4F42-AD0B-4E181A37892C}"/>
            </c:ext>
          </c:extLst>
        </c:ser>
        <c:dLbls>
          <c:showLegendKey val="0"/>
          <c:showVal val="0"/>
          <c:showCatName val="0"/>
          <c:showSerName val="0"/>
          <c:showPercent val="0"/>
          <c:showBubbleSize val="0"/>
        </c:dLbls>
        <c:gapWidth val="150"/>
        <c:axId val="618884520"/>
        <c:axId val="618886872"/>
      </c:barChart>
      <c:catAx>
        <c:axId val="6188845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186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8886872"/>
        <c:crosses val="autoZero"/>
        <c:auto val="1"/>
        <c:lblAlgn val="ctr"/>
        <c:lblOffset val="100"/>
        <c:noMultiLvlLbl val="0"/>
      </c:catAx>
      <c:valAx>
        <c:axId val="618886872"/>
        <c:scaling>
          <c:orientation val="minMax"/>
          <c:max val="1"/>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8884520"/>
        <c:crosses val="autoZero"/>
        <c:crossBetween val="between"/>
      </c:valAx>
      <c:spPr>
        <a:noFill/>
        <a:ln>
          <a:noFill/>
        </a:ln>
        <a:effectLst/>
      </c:spPr>
    </c:plotArea>
    <c:legend>
      <c:legendPos val="b"/>
      <c:layout>
        <c:manualLayout>
          <c:xMode val="edge"/>
          <c:yMode val="edge"/>
          <c:x val="0.15808585179624168"/>
          <c:y val="0.7746207952797225"/>
          <c:w val="0.71052254831782391"/>
          <c:h val="0.1163205744987666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Staffing by process type</a:t>
            </a:r>
          </a:p>
        </c:rich>
      </c:tx>
      <c:layout>
        <c:manualLayout>
          <c:xMode val="edge"/>
          <c:yMode val="edge"/>
          <c:x val="0.33906990125391162"/>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9.5032775203268222E-2"/>
          <c:y val="4.8968800791173758E-2"/>
          <c:w val="0.84333349635643373"/>
          <c:h val="0.59672864050993113"/>
        </c:manualLayout>
      </c:layout>
      <c:barChart>
        <c:barDir val="col"/>
        <c:grouping val="clustered"/>
        <c:varyColors val="0"/>
        <c:ser>
          <c:idx val="0"/>
          <c:order val="0"/>
          <c:tx>
            <c:strRef>
              <c:f>Sheet1!$B$1</c:f>
              <c:strCache>
                <c:ptCount val="1"/>
                <c:pt idx="0">
                  <c:v>Non-advertised (excludes unknowns)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1805555555555555E-2"/>
                  <c:y val="1.39933531572502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582-4382-921D-7462C5192698}"/>
                </c:ext>
              </c:extLst>
            </c:dLbl>
            <c:dLbl>
              <c:idx val="1"/>
              <c:layout>
                <c:manualLayout>
                  <c:x val="-1.4035706474190758E-2"/>
                  <c:y val="1.74916914465628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82-4382-921D-7462C5192698}"/>
                </c:ext>
              </c:extLst>
            </c:dLbl>
            <c:dLbl>
              <c:idx val="2"/>
              <c:layout>
                <c:manualLayout>
                  <c:x val="-1.5259459755030621E-2"/>
                  <c:y val="1.39933531572502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582-4382-921D-7462C5192698}"/>
                </c:ext>
              </c:extLst>
            </c:dLbl>
            <c:dLbl>
              <c:idx val="3"/>
              <c:layout>
                <c:manualLayout>
                  <c:x val="-9.0458223972003492E-3"/>
                  <c:y val="1.3993353157250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582-4382-921D-7462C5192698}"/>
                </c:ext>
              </c:extLst>
            </c:dLbl>
            <c:dLbl>
              <c:idx val="4"/>
              <c:layout>
                <c:manualLayout>
                  <c:x val="-1.1859962817147985E-2"/>
                  <c:y val="1.44150819699225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582-4382-921D-7462C519269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2015-16 </c:v>
                </c:pt>
                <c:pt idx="1">
                  <c:v>2016-17</c:v>
                </c:pt>
                <c:pt idx="2">
                  <c:v>2017-18</c:v>
                </c:pt>
                <c:pt idx="3">
                  <c:v>2018-19</c:v>
                </c:pt>
                <c:pt idx="4">
                  <c:v>2019-20</c:v>
                </c:pt>
              </c:strCache>
            </c:strRef>
          </c:cat>
          <c:val>
            <c:numRef>
              <c:f>Sheet1!$B$2:$B$6</c:f>
              <c:numCache>
                <c:formatCode>#\ ###</c:formatCode>
                <c:ptCount val="5"/>
                <c:pt idx="0">
                  <c:v>152</c:v>
                </c:pt>
                <c:pt idx="1">
                  <c:v>247</c:v>
                </c:pt>
                <c:pt idx="2">
                  <c:v>532</c:v>
                </c:pt>
                <c:pt idx="3">
                  <c:v>728</c:v>
                </c:pt>
                <c:pt idx="4">
                  <c:v>831</c:v>
                </c:pt>
              </c:numCache>
            </c:numRef>
          </c:val>
          <c:extLst>
            <c:ext xmlns:c16="http://schemas.microsoft.com/office/drawing/2014/chart" uri="{C3380CC4-5D6E-409C-BE32-E72D297353CC}">
              <c16:uniqueId val="{00000005-2582-4382-921D-7462C5192698}"/>
            </c:ext>
          </c:extLst>
        </c:ser>
        <c:ser>
          <c:idx val="1"/>
          <c:order val="1"/>
          <c:tx>
            <c:strRef>
              <c:f>Sheet1!$C$1</c:f>
              <c:strCache>
                <c:ptCount val="1"/>
                <c:pt idx="0">
                  <c:v>Advertised</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3.5085848643919512E-3"/>
                  <c:y val="1.69925584559932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582-4382-921D-7462C5192698}"/>
                </c:ext>
              </c:extLst>
            </c:dLbl>
            <c:dLbl>
              <c:idx val="1"/>
              <c:layout>
                <c:manualLayout>
                  <c:x val="-6.9263998250218726E-3"/>
                  <c:y val="1.83351490719073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582-4382-921D-7462C5192698}"/>
                </c:ext>
              </c:extLst>
            </c:dLbl>
            <c:dLbl>
              <c:idx val="2"/>
              <c:layout>
                <c:manualLayout>
                  <c:x val="-2.7777777777777779E-3"/>
                  <c:y val="1.17602013059544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582-4382-921D-7462C5192698}"/>
                </c:ext>
              </c:extLst>
            </c:dLbl>
            <c:dLbl>
              <c:idx val="3"/>
              <c:layout>
                <c:manualLayout>
                  <c:x val="3.472222222222222E-3"/>
                  <c:y val="8.26186301664189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582-4382-921D-7462C5192698}"/>
                </c:ext>
              </c:extLst>
            </c:dLbl>
            <c:dLbl>
              <c:idx val="4"/>
              <c:layout>
                <c:manualLayout>
                  <c:x val="3.4541776027996502E-3"/>
                  <c:y val="1.39933531572502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582-4382-921D-7462C519269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2015-16 </c:v>
                </c:pt>
                <c:pt idx="1">
                  <c:v>2016-17</c:v>
                </c:pt>
                <c:pt idx="2">
                  <c:v>2017-18</c:v>
                </c:pt>
                <c:pt idx="3">
                  <c:v>2018-19</c:v>
                </c:pt>
                <c:pt idx="4">
                  <c:v>2019-20</c:v>
                </c:pt>
              </c:strCache>
            </c:strRef>
          </c:cat>
          <c:val>
            <c:numRef>
              <c:f>Sheet1!$C$2:$C$6</c:f>
              <c:numCache>
                <c:formatCode>#\ ###</c:formatCode>
                <c:ptCount val="5"/>
                <c:pt idx="0">
                  <c:v>374</c:v>
                </c:pt>
                <c:pt idx="1">
                  <c:v>564</c:v>
                </c:pt>
                <c:pt idx="2">
                  <c:v>577</c:v>
                </c:pt>
                <c:pt idx="3">
                  <c:v>642</c:v>
                </c:pt>
                <c:pt idx="4">
                  <c:v>718</c:v>
                </c:pt>
              </c:numCache>
            </c:numRef>
          </c:val>
          <c:extLst>
            <c:ext xmlns:c16="http://schemas.microsoft.com/office/drawing/2014/chart" uri="{C3380CC4-5D6E-409C-BE32-E72D297353CC}">
              <c16:uniqueId val="{0000000B-2582-4382-921D-7462C5192698}"/>
            </c:ext>
          </c:extLst>
        </c:ser>
        <c:dLbls>
          <c:showLegendKey val="0"/>
          <c:showVal val="0"/>
          <c:showCatName val="0"/>
          <c:showSerName val="0"/>
          <c:showPercent val="0"/>
          <c:showBubbleSize val="0"/>
        </c:dLbls>
        <c:gapWidth val="150"/>
        <c:axId val="618891968"/>
        <c:axId val="618890008"/>
      </c:barChart>
      <c:lineChart>
        <c:grouping val="standard"/>
        <c:varyColors val="0"/>
        <c:ser>
          <c:idx val="2"/>
          <c:order val="2"/>
          <c:tx>
            <c:strRef>
              <c:f>Sheet1!$D$1</c:f>
              <c:strCache>
                <c:ptCount val="1"/>
                <c:pt idx="0">
                  <c:v>% of Non- advertised</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dLbls>
            <c:dLbl>
              <c:idx val="0"/>
              <c:layout>
                <c:manualLayout>
                  <c:x val="-7.8490130139982517E-2"/>
                  <c:y val="3.3296880831998568E-2"/>
                </c:manualLayout>
              </c:layout>
              <c:showLegendKey val="0"/>
              <c:showVal val="1"/>
              <c:showCatName val="0"/>
              <c:showSerName val="0"/>
              <c:showPercent val="0"/>
              <c:showBubbleSize val="0"/>
              <c:extLst>
                <c:ext xmlns:c15="http://schemas.microsoft.com/office/drawing/2012/chart" uri="{CE6537A1-D6FC-4f65-9D91-7224C49458BB}">
                  <c15:layout>
                    <c:manualLayout>
                      <c:w val="7.4843886701662282E-2"/>
                      <c:h val="4.8924398705890285E-2"/>
                    </c:manualLayout>
                  </c15:layout>
                </c:ext>
                <c:ext xmlns:c16="http://schemas.microsoft.com/office/drawing/2014/chart" uri="{C3380CC4-5D6E-409C-BE32-E72D297353CC}">
                  <c16:uniqueId val="{0000000C-2582-4382-921D-7462C5192698}"/>
                </c:ext>
              </c:extLst>
            </c:dLbl>
            <c:dLbl>
              <c:idx val="1"/>
              <c:layout>
                <c:manualLayout>
                  <c:x val="-7.9557633420822435E-2"/>
                  <c:y val="-3.79352091221237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582-4382-921D-7462C5192698}"/>
                </c:ext>
              </c:extLst>
            </c:dLbl>
            <c:dLbl>
              <c:idx val="2"/>
              <c:layout>
                <c:manualLayout>
                  <c:x val="-8.8468941382327207E-2"/>
                  <c:y val="-1.83398318869403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582-4382-921D-7462C5192698}"/>
                </c:ext>
              </c:extLst>
            </c:dLbl>
            <c:dLbl>
              <c:idx val="3"/>
              <c:layout>
                <c:manualLayout>
                  <c:x val="-8.1231681977252848E-2"/>
                  <c:y val="-2.41914224601581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582-4382-921D-7462C5192698}"/>
                </c:ext>
              </c:extLst>
            </c:dLbl>
            <c:dLbl>
              <c:idx val="4"/>
              <c:layout>
                <c:manualLayout>
                  <c:x val="-4.2883858267716533E-2"/>
                  <c:y val="-2.64719533811990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582-4382-921D-7462C519269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2015-16 </c:v>
                </c:pt>
                <c:pt idx="1">
                  <c:v>2016-17</c:v>
                </c:pt>
                <c:pt idx="2">
                  <c:v>2017-18</c:v>
                </c:pt>
                <c:pt idx="3">
                  <c:v>2018-19</c:v>
                </c:pt>
                <c:pt idx="4">
                  <c:v>2019-20</c:v>
                </c:pt>
              </c:strCache>
            </c:strRef>
          </c:cat>
          <c:val>
            <c:numRef>
              <c:f>Sheet1!$D$2:$D$6</c:f>
              <c:numCache>
                <c:formatCode>0%</c:formatCode>
                <c:ptCount val="5"/>
                <c:pt idx="0">
                  <c:v>0.28999999999999998</c:v>
                </c:pt>
                <c:pt idx="1">
                  <c:v>0.3</c:v>
                </c:pt>
                <c:pt idx="2">
                  <c:v>0.48</c:v>
                </c:pt>
                <c:pt idx="3">
                  <c:v>0.53</c:v>
                </c:pt>
                <c:pt idx="4">
                  <c:v>0.54</c:v>
                </c:pt>
              </c:numCache>
            </c:numRef>
          </c:val>
          <c:smooth val="0"/>
          <c:extLst>
            <c:ext xmlns:c16="http://schemas.microsoft.com/office/drawing/2014/chart" uri="{C3380CC4-5D6E-409C-BE32-E72D297353CC}">
              <c16:uniqueId val="{00000011-2582-4382-921D-7462C5192698}"/>
            </c:ext>
          </c:extLst>
        </c:ser>
        <c:dLbls>
          <c:showLegendKey val="0"/>
          <c:showVal val="0"/>
          <c:showCatName val="0"/>
          <c:showSerName val="0"/>
          <c:showPercent val="0"/>
          <c:showBubbleSize val="0"/>
        </c:dLbls>
        <c:marker val="1"/>
        <c:smooth val="0"/>
        <c:axId val="618890400"/>
        <c:axId val="618887264"/>
      </c:lineChart>
      <c:catAx>
        <c:axId val="6188919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8890008"/>
        <c:crosses val="autoZero"/>
        <c:auto val="1"/>
        <c:lblAlgn val="ctr"/>
        <c:lblOffset val="100"/>
        <c:noMultiLvlLbl val="0"/>
      </c:catAx>
      <c:valAx>
        <c:axId val="618890008"/>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8891968"/>
        <c:crosses val="autoZero"/>
        <c:crossBetween val="between"/>
      </c:valAx>
      <c:valAx>
        <c:axId val="618887264"/>
        <c:scaling>
          <c:orientation val="minMax"/>
          <c:max val="0.8"/>
          <c:min val="0.2"/>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8890400"/>
        <c:crosses val="max"/>
        <c:crossBetween val="between"/>
        <c:majorUnit val="0.1"/>
      </c:valAx>
      <c:catAx>
        <c:axId val="618890400"/>
        <c:scaling>
          <c:orientation val="minMax"/>
        </c:scaling>
        <c:delete val="1"/>
        <c:axPos val="b"/>
        <c:numFmt formatCode="General" sourceLinked="1"/>
        <c:majorTickMark val="out"/>
        <c:minorTickMark val="none"/>
        <c:tickLblPos val="nextTo"/>
        <c:crossAx val="618887264"/>
        <c:crosses val="autoZero"/>
        <c:auto val="1"/>
        <c:lblAlgn val="ctr"/>
        <c:lblOffset val="100"/>
        <c:noMultiLvlLbl val="0"/>
      </c:catAx>
      <c:spPr>
        <a:noFill/>
        <a:ln>
          <a:noFill/>
        </a:ln>
        <a:effectLst/>
      </c:spPr>
    </c:plotArea>
    <c:legend>
      <c:legendPos val="b"/>
      <c:layout>
        <c:manualLayout>
          <c:xMode val="edge"/>
          <c:yMode val="edge"/>
          <c:x val="1.3961605584642234E-2"/>
          <c:y val="0.70815236778278368"/>
          <c:w val="0.98603839441535779"/>
          <c:h val="0.1116294956745939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Staffing by appointment type</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40835520559928"/>
          <c:y val="0.1339700040434969"/>
          <c:w val="0.84333349635643373"/>
          <c:h val="0.5659525943872401"/>
        </c:manualLayout>
      </c:layout>
      <c:bar3DChart>
        <c:barDir val="col"/>
        <c:grouping val="clustered"/>
        <c:varyColors val="0"/>
        <c:ser>
          <c:idx val="0"/>
          <c:order val="0"/>
          <c:tx>
            <c:strRef>
              <c:f>Sheet1!$B$1</c:f>
              <c:strCache>
                <c:ptCount val="1"/>
                <c:pt idx="0">
                  <c:v>Promotions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9.6272965879265343E-3"/>
                  <c:y val="2.17852614577024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FED-4732-B617-8A2CE85EBEF1}"/>
                </c:ext>
              </c:extLst>
            </c:dLbl>
            <c:dLbl>
              <c:idx val="1"/>
              <c:layout>
                <c:manualLayout>
                  <c:x val="-8.3333333333333332E-3"/>
                  <c:y val="1.54976781748435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FED-4732-B617-8A2CE85EBEF1}"/>
                </c:ext>
              </c:extLst>
            </c:dLbl>
            <c:dLbl>
              <c:idx val="2"/>
              <c:layout>
                <c:manualLayout>
                  <c:x val="-1.1111111111111162E-2"/>
                  <c:y val="2.38853220270543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FED-4732-B617-8A2CE85EBEF1}"/>
                </c:ext>
              </c:extLst>
            </c:dLbl>
            <c:dLbl>
              <c:idx val="3"/>
              <c:layout>
                <c:manualLayout>
                  <c:x val="-1.388888888888899E-2"/>
                  <c:y val="2.3520290732889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FED-4732-B617-8A2CE85EBEF1}"/>
                </c:ext>
              </c:extLst>
            </c:dLbl>
            <c:dLbl>
              <c:idx val="4"/>
              <c:layout>
                <c:manualLayout>
                  <c:x val="-1.9444444444444545E-2"/>
                  <c:y val="1.97827579244902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FED-4732-B617-8A2CE85EBEF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2015-16
(N=2 568)</c:v>
                </c:pt>
                <c:pt idx="1">
                  <c:v>2016-17 
(N=3 063)</c:v>
                </c:pt>
                <c:pt idx="2">
                  <c:v>2017-18
(N=3 108)</c:v>
                </c:pt>
                <c:pt idx="3">
                  <c:v>2018-19
(N=3 444)</c:v>
                </c:pt>
                <c:pt idx="4">
                  <c:v>2019-20
(N=3 968)</c:v>
                </c:pt>
              </c:strCache>
            </c:strRef>
          </c:cat>
          <c:val>
            <c:numRef>
              <c:f>Sheet1!$B$3:$B$7</c:f>
              <c:numCache>
                <c:formatCode>#\ ###</c:formatCode>
                <c:ptCount val="5"/>
                <c:pt idx="0">
                  <c:v>248</c:v>
                </c:pt>
                <c:pt idx="1">
                  <c:v>480</c:v>
                </c:pt>
                <c:pt idx="2">
                  <c:v>544</c:v>
                </c:pt>
                <c:pt idx="3">
                  <c:v>675</c:v>
                </c:pt>
                <c:pt idx="4">
                  <c:v>858</c:v>
                </c:pt>
              </c:numCache>
            </c:numRef>
          </c:val>
          <c:extLst>
            <c:ext xmlns:c16="http://schemas.microsoft.com/office/drawing/2014/chart" uri="{C3380CC4-5D6E-409C-BE32-E72D297353CC}">
              <c16:uniqueId val="{00000005-8FED-4732-B617-8A2CE85EBEF1}"/>
            </c:ext>
          </c:extLst>
        </c:ser>
        <c:ser>
          <c:idx val="1"/>
          <c:order val="1"/>
          <c:tx>
            <c:strRef>
              <c:f>Sheet1!$C$1</c:f>
              <c:strCache>
                <c:ptCount val="1"/>
                <c:pt idx="0">
                  <c:v>Lateral and downward movements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8.3333333333333332E-3"/>
                  <c:y val="1.97827579244902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FED-4732-B617-8A2CE85EBEF1}"/>
                </c:ext>
              </c:extLst>
            </c:dLbl>
            <c:dLbl>
              <c:idx val="1"/>
              <c:layout>
                <c:manualLayout>
                  <c:x val="-1.1111111111111112E-2"/>
                  <c:y val="1.9417726630325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FED-4732-B617-8A2CE85EBEF1}"/>
                </c:ext>
              </c:extLst>
            </c:dLbl>
            <c:dLbl>
              <c:idx val="2"/>
              <c:layout>
                <c:manualLayout>
                  <c:x val="-8.3333333333333332E-3"/>
                  <c:y val="1.58627094690086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FED-4732-B617-8A2CE85EBEF1}"/>
                </c:ext>
              </c:extLst>
            </c:dLbl>
            <c:dLbl>
              <c:idx val="3"/>
              <c:layout>
                <c:manualLayout>
                  <c:x val="-5.5555555555555558E-3"/>
                  <c:y val="1.17601453664445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FED-4732-B617-8A2CE85EBEF1}"/>
                </c:ext>
              </c:extLst>
            </c:dLbl>
            <c:dLbl>
              <c:idx val="4"/>
              <c:layout>
                <c:manualLayout>
                  <c:x val="-2.7777777777778798E-3"/>
                  <c:y val="1.13951140722794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FED-4732-B617-8A2CE85EBEF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2015-16
(N=2 568)</c:v>
                </c:pt>
                <c:pt idx="1">
                  <c:v>2016-17 
(N=3 063)</c:v>
                </c:pt>
                <c:pt idx="2">
                  <c:v>2017-18
(N=3 108)</c:v>
                </c:pt>
                <c:pt idx="3">
                  <c:v>2018-19
(N=3 444)</c:v>
                </c:pt>
                <c:pt idx="4">
                  <c:v>2019-20
(N=3 968)</c:v>
                </c:pt>
              </c:strCache>
            </c:strRef>
          </c:cat>
          <c:val>
            <c:numRef>
              <c:f>Sheet1!$C$3:$C$7</c:f>
              <c:numCache>
                <c:formatCode>#\ ###</c:formatCode>
                <c:ptCount val="5"/>
                <c:pt idx="0">
                  <c:v>446</c:v>
                </c:pt>
                <c:pt idx="1">
                  <c:v>769</c:v>
                </c:pt>
                <c:pt idx="2">
                  <c:v>671</c:v>
                </c:pt>
                <c:pt idx="3">
                  <c:v>677</c:v>
                </c:pt>
                <c:pt idx="4">
                  <c:v>820</c:v>
                </c:pt>
              </c:numCache>
            </c:numRef>
          </c:val>
          <c:extLst>
            <c:ext xmlns:c16="http://schemas.microsoft.com/office/drawing/2014/chart" uri="{C3380CC4-5D6E-409C-BE32-E72D297353CC}">
              <c16:uniqueId val="{0000000B-8FED-4732-B617-8A2CE85EBEF1}"/>
            </c:ext>
          </c:extLst>
        </c:ser>
        <c:ser>
          <c:idx val="2"/>
          <c:order val="2"/>
          <c:tx>
            <c:strRef>
              <c:f>Sheet1!$D$1</c:f>
              <c:strCache>
                <c:ptCount val="1"/>
                <c:pt idx="0">
                  <c:v>Appointments to the public service  (includes casuals and students)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9E-3"/>
                  <c:y val="2.0147789218655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FED-4732-B617-8A2CE85EBEF1}"/>
                </c:ext>
              </c:extLst>
            </c:dLbl>
            <c:dLbl>
              <c:idx val="1"/>
              <c:layout>
                <c:manualLayout>
                  <c:x val="8.2852143482059644E-4"/>
                  <c:y val="1.2005007066424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FED-4732-B617-8A2CE85EBEF1}"/>
                </c:ext>
              </c:extLst>
            </c:dLbl>
            <c:dLbl>
              <c:idx val="2"/>
              <c:layout>
                <c:manualLayout>
                  <c:x val="-2.7777777777777779E-3"/>
                  <c:y val="1.97827579244902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FED-4732-B617-8A2CE85EBEF1}"/>
                </c:ext>
              </c:extLst>
            </c:dLbl>
            <c:dLbl>
              <c:idx val="3"/>
              <c:layout>
                <c:manualLayout>
                  <c:x val="2.7777777777777779E-3"/>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FED-4732-B617-8A2CE85EBEF1}"/>
                </c:ext>
              </c:extLst>
            </c:dLbl>
            <c:dLbl>
              <c:idx val="4"/>
              <c:layout>
                <c:manualLayout>
                  <c:x val="3.6062992125984253E-3"/>
                  <c:y val="2.38853220270542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FED-4732-B617-8A2CE85EBEF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2015-16
(N=2 568)</c:v>
                </c:pt>
                <c:pt idx="1">
                  <c:v>2016-17 
(N=3 063)</c:v>
                </c:pt>
                <c:pt idx="2">
                  <c:v>2017-18
(N=3 108)</c:v>
                </c:pt>
                <c:pt idx="3">
                  <c:v>2018-19
(N=3 444)</c:v>
                </c:pt>
                <c:pt idx="4">
                  <c:v>2019-20
(N=3 968)</c:v>
                </c:pt>
              </c:strCache>
            </c:strRef>
          </c:cat>
          <c:val>
            <c:numRef>
              <c:f>Sheet1!$D$3:$D$7</c:f>
              <c:numCache>
                <c:formatCode>#\ ###</c:formatCode>
                <c:ptCount val="5"/>
                <c:pt idx="0">
                  <c:v>1443</c:v>
                </c:pt>
                <c:pt idx="1">
                  <c:v>1505</c:v>
                </c:pt>
                <c:pt idx="2">
                  <c:v>1579</c:v>
                </c:pt>
                <c:pt idx="3">
                  <c:v>1623</c:v>
                </c:pt>
                <c:pt idx="4">
                  <c:v>1722</c:v>
                </c:pt>
              </c:numCache>
            </c:numRef>
          </c:val>
          <c:extLst>
            <c:ext xmlns:c16="http://schemas.microsoft.com/office/drawing/2014/chart" uri="{C3380CC4-5D6E-409C-BE32-E72D297353CC}">
              <c16:uniqueId val="{00000011-8FED-4732-B617-8A2CE85EBEF1}"/>
            </c:ext>
          </c:extLst>
        </c:ser>
        <c:ser>
          <c:idx val="3"/>
          <c:order val="3"/>
          <c:tx>
            <c:strRef>
              <c:f>Sheet1!$E$1</c:f>
              <c:strCache>
                <c:ptCount val="1"/>
                <c:pt idx="0">
                  <c:v>Acting appointments (excludes appointments of less than 4 months)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9E-3"/>
                  <c:y val="1.54976781748435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FED-4732-B617-8A2CE85EBEF1}"/>
                </c:ext>
              </c:extLst>
            </c:dLbl>
            <c:dLbl>
              <c:idx val="1"/>
              <c:layout>
                <c:manualLayout>
                  <c:x val="5.5555555555555558E-3"/>
                  <c:y val="2.03303048657379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FED-4732-B617-8A2CE85EBEF1}"/>
                </c:ext>
              </c:extLst>
            </c:dLbl>
            <c:dLbl>
              <c:idx val="2"/>
              <c:layout>
                <c:manualLayout>
                  <c:x val="2.7777777777777779E-3"/>
                  <c:y val="2.06953361599030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FED-4732-B617-8A2CE85EBEF1}"/>
                </c:ext>
              </c:extLst>
            </c:dLbl>
            <c:dLbl>
              <c:idx val="3"/>
              <c:layout>
                <c:manualLayout>
                  <c:x val="8.285214348206474E-4"/>
                  <c:y val="2.039265091863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FED-4732-B617-8A2CE85EBEF1}"/>
                </c:ext>
              </c:extLst>
            </c:dLbl>
            <c:dLbl>
              <c:idx val="4"/>
              <c:layout>
                <c:manualLayout>
                  <c:x val="3.6062992125983234E-3"/>
                  <c:y val="1.97827579244901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8FED-4732-B617-8A2CE85EBEF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2015-16
(N=2 568)</c:v>
                </c:pt>
                <c:pt idx="1">
                  <c:v>2016-17 
(N=3 063)</c:v>
                </c:pt>
                <c:pt idx="2">
                  <c:v>2017-18
(N=3 108)</c:v>
                </c:pt>
                <c:pt idx="3">
                  <c:v>2018-19
(N=3 444)</c:v>
                </c:pt>
                <c:pt idx="4">
                  <c:v>2019-20
(N=3 968)</c:v>
                </c:pt>
              </c:strCache>
            </c:strRef>
          </c:cat>
          <c:val>
            <c:numRef>
              <c:f>Sheet1!$E$3:$E$7</c:f>
              <c:numCache>
                <c:formatCode>#\ ###</c:formatCode>
                <c:ptCount val="5"/>
                <c:pt idx="0">
                  <c:v>431</c:v>
                </c:pt>
                <c:pt idx="1">
                  <c:v>309</c:v>
                </c:pt>
                <c:pt idx="2">
                  <c:v>314</c:v>
                </c:pt>
                <c:pt idx="3">
                  <c:v>469</c:v>
                </c:pt>
                <c:pt idx="4">
                  <c:v>568</c:v>
                </c:pt>
              </c:numCache>
            </c:numRef>
          </c:val>
          <c:extLst>
            <c:ext xmlns:c16="http://schemas.microsoft.com/office/drawing/2014/chart" uri="{C3380CC4-5D6E-409C-BE32-E72D297353CC}">
              <c16:uniqueId val="{00000017-8FED-4732-B617-8A2CE85EBEF1}"/>
            </c:ext>
          </c:extLst>
        </c:ser>
        <c:dLbls>
          <c:showLegendKey val="0"/>
          <c:showVal val="0"/>
          <c:showCatName val="0"/>
          <c:showSerName val="0"/>
          <c:showPercent val="0"/>
          <c:showBubbleSize val="0"/>
        </c:dLbls>
        <c:gapWidth val="150"/>
        <c:shape val="box"/>
        <c:axId val="618882952"/>
        <c:axId val="618893928"/>
        <c:axId val="0"/>
      </c:bar3DChart>
      <c:catAx>
        <c:axId val="6188829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8893928"/>
        <c:crosses val="autoZero"/>
        <c:auto val="0"/>
        <c:lblAlgn val="ctr"/>
        <c:lblOffset val="100"/>
        <c:noMultiLvlLbl val="0"/>
      </c:catAx>
      <c:valAx>
        <c:axId val="618893928"/>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8882952"/>
        <c:crosses val="autoZero"/>
        <c:crossBetween val="between"/>
      </c:valAx>
      <c:spPr>
        <a:noFill/>
        <a:ln>
          <a:noFill/>
        </a:ln>
        <a:effectLst/>
      </c:spPr>
    </c:plotArea>
    <c:legend>
      <c:legendPos val="r"/>
      <c:layout>
        <c:manualLayout>
          <c:xMode val="edge"/>
          <c:yMode val="edge"/>
          <c:x val="0"/>
          <c:y val="0.80998182919442763"/>
          <c:w val="1"/>
          <c:h val="0.1900181708055723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Staffing by tenure</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40835520559928"/>
          <c:y val="0.13132759943468605"/>
          <c:w val="0.86277799650043729"/>
          <c:h val="0.57944227740763177"/>
        </c:manualLayout>
      </c:layout>
      <c:bar3DChart>
        <c:barDir val="col"/>
        <c:grouping val="clustered"/>
        <c:varyColors val="0"/>
        <c:ser>
          <c:idx val="0"/>
          <c:order val="0"/>
          <c:tx>
            <c:strRef>
              <c:f>Sheet1!$B$1</c:f>
              <c:strCache>
                <c:ptCount val="1"/>
                <c:pt idx="0">
                  <c:v>Indeterminate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9E-3"/>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BB-45AD-A806-17124F7559BC}"/>
                </c:ext>
              </c:extLst>
            </c:dLbl>
            <c:dLbl>
              <c:idx val="1"/>
              <c:layout>
                <c:manualLayout>
                  <c:x val="0"/>
                  <c:y val="1.96001568012544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BB-45AD-A806-17124F7559BC}"/>
                </c:ext>
              </c:extLst>
            </c:dLbl>
            <c:dLbl>
              <c:idx val="2"/>
              <c:layout>
                <c:manualLayout>
                  <c:x val="-2.7777777777778798E-3"/>
                  <c:y val="1.9600156801254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0BB-45AD-A806-17124F7559BC}"/>
                </c:ext>
              </c:extLst>
            </c:dLbl>
            <c:dLbl>
              <c:idx val="3"/>
              <c:layout>
                <c:manualLayout>
                  <c:x val="-2.7777777777778798E-3"/>
                  <c:y val="1.9782757924490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0BB-45AD-A806-17124F7559BC}"/>
                </c:ext>
              </c:extLst>
            </c:dLbl>
            <c:dLbl>
              <c:idx val="4"/>
              <c:layout>
                <c:manualLayout>
                  <c:x val="-2.7777777777778798E-3"/>
                  <c:y val="1.96002422774076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0BB-45AD-A806-17124F7559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2015-16
 (N=2 568)</c:v>
                </c:pt>
                <c:pt idx="1">
                  <c:v>2016-17
 (N=3 063)</c:v>
                </c:pt>
                <c:pt idx="2">
                  <c:v>2017-18
 (N=3 108)</c:v>
                </c:pt>
                <c:pt idx="3">
                  <c:v>2018-19
 (N=3 444)</c:v>
                </c:pt>
                <c:pt idx="4">
                  <c:v>2019-20
 (N=3 968)</c:v>
                </c:pt>
              </c:strCache>
            </c:strRef>
          </c:cat>
          <c:val>
            <c:numRef>
              <c:f>Sheet1!$B$2:$B$6</c:f>
              <c:numCache>
                <c:formatCode>#\ ###</c:formatCode>
                <c:ptCount val="5"/>
                <c:pt idx="0">
                  <c:v>1131</c:v>
                </c:pt>
                <c:pt idx="1">
                  <c:v>1682</c:v>
                </c:pt>
                <c:pt idx="2">
                  <c:v>1696</c:v>
                </c:pt>
                <c:pt idx="3">
                  <c:v>1993</c:v>
                </c:pt>
                <c:pt idx="4">
                  <c:v>2470</c:v>
                </c:pt>
              </c:numCache>
            </c:numRef>
          </c:val>
          <c:extLst>
            <c:ext xmlns:c16="http://schemas.microsoft.com/office/drawing/2014/chart" uri="{C3380CC4-5D6E-409C-BE32-E72D297353CC}">
              <c16:uniqueId val="{00000005-E0BB-45AD-A806-17124F7559BC}"/>
            </c:ext>
          </c:extLst>
        </c:ser>
        <c:ser>
          <c:idx val="1"/>
          <c:order val="1"/>
          <c:tx>
            <c:strRef>
              <c:f>Sheet1!$C$1</c:f>
              <c:strCache>
                <c:ptCount val="1"/>
                <c:pt idx="0">
                  <c:v>Term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0"/>
                  <c:y val="2.3520290732889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0BB-45AD-A806-17124F7559BC}"/>
                </c:ext>
              </c:extLst>
            </c:dLbl>
            <c:dLbl>
              <c:idx val="1"/>
              <c:layout>
                <c:manualLayout>
                  <c:x val="-2.7777777777777779E-3"/>
                  <c:y val="2.42503533212194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0BB-45AD-A806-17124F7559BC}"/>
                </c:ext>
              </c:extLst>
            </c:dLbl>
            <c:dLbl>
              <c:idx val="2"/>
              <c:layout>
                <c:manualLayout>
                  <c:x val="0"/>
                  <c:y val="2.3702806379971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0BB-45AD-A806-17124F7559BC}"/>
                </c:ext>
              </c:extLst>
            </c:dLbl>
            <c:dLbl>
              <c:idx val="3"/>
              <c:layout>
                <c:manualLayout>
                  <c:x val="5.5555555555555558E-3"/>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0BB-45AD-A806-17124F7559BC}"/>
                </c:ext>
              </c:extLst>
            </c:dLbl>
            <c:dLbl>
              <c:idx val="4"/>
              <c:layout>
                <c:manualLayout>
                  <c:x val="-1.0185067526415994E-16"/>
                  <c:y val="2.3702806379971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0BB-45AD-A806-17124F7559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2015-16
 (N=2 568)</c:v>
                </c:pt>
                <c:pt idx="1">
                  <c:v>2016-17
 (N=3 063)</c:v>
                </c:pt>
                <c:pt idx="2">
                  <c:v>2017-18
 (N=3 108)</c:v>
                </c:pt>
                <c:pt idx="3">
                  <c:v>2018-19
 (N=3 444)</c:v>
                </c:pt>
                <c:pt idx="4">
                  <c:v>2019-20
 (N=3 968)</c:v>
                </c:pt>
              </c:strCache>
            </c:strRef>
          </c:cat>
          <c:val>
            <c:numRef>
              <c:f>Sheet1!$C$2:$C$6</c:f>
              <c:numCache>
                <c:formatCode>#\ ###</c:formatCode>
                <c:ptCount val="5"/>
                <c:pt idx="0">
                  <c:v>206</c:v>
                </c:pt>
                <c:pt idx="1">
                  <c:v>267</c:v>
                </c:pt>
                <c:pt idx="2">
                  <c:v>314</c:v>
                </c:pt>
                <c:pt idx="3">
                  <c:v>328</c:v>
                </c:pt>
                <c:pt idx="4">
                  <c:v>372</c:v>
                </c:pt>
              </c:numCache>
            </c:numRef>
          </c:val>
          <c:extLst>
            <c:ext xmlns:c16="http://schemas.microsoft.com/office/drawing/2014/chart" uri="{C3380CC4-5D6E-409C-BE32-E72D297353CC}">
              <c16:uniqueId val="{0000000B-E0BB-45AD-A806-17124F7559BC}"/>
            </c:ext>
          </c:extLst>
        </c:ser>
        <c:ser>
          <c:idx val="2"/>
          <c:order val="2"/>
          <c:tx>
            <c:strRef>
              <c:f>Sheet1!$D$1</c:f>
              <c:strCache>
                <c:ptCount val="1"/>
                <c:pt idx="0">
                  <c:v>Casual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8.3333333333333332E-3"/>
                  <c:y val="2.0330304865737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0BB-45AD-A806-17124F7559BC}"/>
                </c:ext>
              </c:extLst>
            </c:dLbl>
            <c:dLbl>
              <c:idx val="1"/>
              <c:layout>
                <c:manualLayout>
                  <c:x val="-5.5555555555555558E-3"/>
                  <c:y val="2.3702806379971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0BB-45AD-A806-17124F7559BC}"/>
                </c:ext>
              </c:extLst>
            </c:dLbl>
            <c:dLbl>
              <c:idx val="2"/>
              <c:layout>
                <c:manualLayout>
                  <c:x val="-1.1111111111111112E-2"/>
                  <c:y val="1.5497678174843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0BB-45AD-A806-17124F7559BC}"/>
                </c:ext>
              </c:extLst>
            </c:dLbl>
            <c:dLbl>
              <c:idx val="3"/>
              <c:layout>
                <c:manualLayout>
                  <c:x val="-8.3333333333333332E-3"/>
                  <c:y val="1.96002422774076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0BB-45AD-A806-17124F7559BC}"/>
                </c:ext>
              </c:extLst>
            </c:dLbl>
            <c:dLbl>
              <c:idx val="4"/>
              <c:layout>
                <c:manualLayout>
                  <c:x val="-5.5555555555555558E-3"/>
                  <c:y val="2.38853220270542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0BB-45AD-A806-17124F7559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2015-16
 (N=2 568)</c:v>
                </c:pt>
                <c:pt idx="1">
                  <c:v>2016-17
 (N=3 063)</c:v>
                </c:pt>
                <c:pt idx="2">
                  <c:v>2017-18
 (N=3 108)</c:v>
                </c:pt>
                <c:pt idx="3">
                  <c:v>2018-19
 (N=3 444)</c:v>
                </c:pt>
                <c:pt idx="4">
                  <c:v>2019-20
 (N=3 968)</c:v>
                </c:pt>
              </c:strCache>
            </c:strRef>
          </c:cat>
          <c:val>
            <c:numRef>
              <c:f>Sheet1!$D$2:$D$6</c:f>
              <c:numCache>
                <c:formatCode>#\ ###</c:formatCode>
                <c:ptCount val="5"/>
                <c:pt idx="0">
                  <c:v>597</c:v>
                </c:pt>
                <c:pt idx="1">
                  <c:v>547</c:v>
                </c:pt>
                <c:pt idx="2">
                  <c:v>557</c:v>
                </c:pt>
                <c:pt idx="3">
                  <c:v>599</c:v>
                </c:pt>
                <c:pt idx="4">
                  <c:v>609</c:v>
                </c:pt>
              </c:numCache>
            </c:numRef>
          </c:val>
          <c:extLst>
            <c:ext xmlns:c16="http://schemas.microsoft.com/office/drawing/2014/chart" uri="{C3380CC4-5D6E-409C-BE32-E72D297353CC}">
              <c16:uniqueId val="{00000011-E0BB-45AD-A806-17124F7559BC}"/>
            </c:ext>
          </c:extLst>
        </c:ser>
        <c:ser>
          <c:idx val="3"/>
          <c:order val="3"/>
          <c:tx>
            <c:strRef>
              <c:f>Sheet1!$E$1</c:f>
              <c:strCache>
                <c:ptCount val="1"/>
                <c:pt idx="0">
                  <c:v>Student</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9E-3"/>
                  <c:y val="2.42503533212194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0BB-45AD-A806-17124F7559BC}"/>
                </c:ext>
              </c:extLst>
            </c:dLbl>
            <c:dLbl>
              <c:idx val="1"/>
              <c:layout>
                <c:manualLayout>
                  <c:x val="1.1111111111111059E-2"/>
                  <c:y val="1.9417726630325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0BB-45AD-A806-17124F7559BC}"/>
                </c:ext>
              </c:extLst>
            </c:dLbl>
            <c:dLbl>
              <c:idx val="2"/>
              <c:layout>
                <c:manualLayout>
                  <c:x val="0"/>
                  <c:y val="2.3520290732889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0BB-45AD-A806-17124F7559BC}"/>
                </c:ext>
              </c:extLst>
            </c:dLbl>
            <c:dLbl>
              <c:idx val="3"/>
              <c:layout>
                <c:manualLayout>
                  <c:x val="2.7777777777777779E-3"/>
                  <c:y val="2.4067837674136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0BB-45AD-A806-17124F7559BC}"/>
                </c:ext>
              </c:extLst>
            </c:dLbl>
            <c:dLbl>
              <c:idx val="4"/>
              <c:layout>
                <c:manualLayout>
                  <c:x val="5.5555555555554534E-3"/>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0BB-45AD-A806-17124F7559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2015-16
 (N=2 568)</c:v>
                </c:pt>
                <c:pt idx="1">
                  <c:v>2016-17
 (N=3 063)</c:v>
                </c:pt>
                <c:pt idx="2">
                  <c:v>2017-18
 (N=3 108)</c:v>
                </c:pt>
                <c:pt idx="3">
                  <c:v>2018-19
 (N=3 444)</c:v>
                </c:pt>
                <c:pt idx="4">
                  <c:v>2019-20
 (N=3 968)</c:v>
                </c:pt>
              </c:strCache>
            </c:strRef>
          </c:cat>
          <c:val>
            <c:numRef>
              <c:f>Sheet1!$E$2:$E$6</c:f>
              <c:numCache>
                <c:formatCode>#\ ###</c:formatCode>
                <c:ptCount val="5"/>
                <c:pt idx="0">
                  <c:v>634</c:v>
                </c:pt>
                <c:pt idx="1">
                  <c:v>567</c:v>
                </c:pt>
                <c:pt idx="2">
                  <c:v>541</c:v>
                </c:pt>
                <c:pt idx="3">
                  <c:v>524</c:v>
                </c:pt>
                <c:pt idx="4">
                  <c:v>517</c:v>
                </c:pt>
              </c:numCache>
            </c:numRef>
          </c:val>
          <c:extLst>
            <c:ext xmlns:c16="http://schemas.microsoft.com/office/drawing/2014/chart" uri="{C3380CC4-5D6E-409C-BE32-E72D297353CC}">
              <c16:uniqueId val="{00000017-E0BB-45AD-A806-17124F7559BC}"/>
            </c:ext>
          </c:extLst>
        </c:ser>
        <c:dLbls>
          <c:showLegendKey val="0"/>
          <c:showVal val="1"/>
          <c:showCatName val="0"/>
          <c:showSerName val="0"/>
          <c:showPercent val="0"/>
          <c:showBubbleSize val="0"/>
        </c:dLbls>
        <c:gapWidth val="150"/>
        <c:shape val="box"/>
        <c:axId val="618890792"/>
        <c:axId val="618891184"/>
        <c:axId val="0"/>
      </c:bar3DChart>
      <c:catAx>
        <c:axId val="6188907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8891184"/>
        <c:crosses val="autoZero"/>
        <c:auto val="1"/>
        <c:lblAlgn val="ctr"/>
        <c:lblOffset val="100"/>
        <c:noMultiLvlLbl val="0"/>
      </c:catAx>
      <c:valAx>
        <c:axId val="618891184"/>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8890792"/>
        <c:crosses val="autoZero"/>
        <c:crossBetween val="between"/>
      </c:valAx>
      <c:spPr>
        <a:noFill/>
        <a:ln>
          <a:noFill/>
        </a:ln>
        <a:effectLst/>
      </c:spPr>
    </c:plotArea>
    <c:legend>
      <c:legendPos val="r"/>
      <c:layout>
        <c:manualLayout>
          <c:xMode val="edge"/>
          <c:yMode val="edge"/>
          <c:x val="8.3333333333333329E-2"/>
          <c:y val="0.81526638400969109"/>
          <c:w val="0.84867125984251957"/>
          <c:h val="0.1437079749646678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0.01772</cdr:x>
      <cdr:y>0.94455</cdr:y>
    </cdr:from>
    <cdr:to>
      <cdr:x>0.9823</cdr:x>
      <cdr:y>1</cdr:y>
    </cdr:to>
    <cdr:sp macro="" textlink="">
      <cdr:nvSpPr>
        <cdr:cNvPr id="2" name="Text Box 1"/>
        <cdr:cNvSpPr txBox="1"/>
      </cdr:nvSpPr>
      <cdr:spPr>
        <a:xfrm xmlns:a="http://schemas.openxmlformats.org/drawingml/2006/main">
          <a:off x="60897" y="3429000"/>
          <a:ext cx="3314895" cy="201295"/>
        </a:xfrm>
        <a:prstGeom xmlns:a="http://schemas.openxmlformats.org/drawingml/2006/main" prst="rect">
          <a:avLst/>
        </a:prstGeom>
      </cdr:spPr>
      <cdr:txBody>
        <a:bodyPr xmlns:a="http://schemas.openxmlformats.org/drawingml/2006/main" vertOverflow="clip" wrap="square" tIns="0" bIns="0" rtlCol="0"/>
        <a:lstStyle xmlns:a="http://schemas.openxmlformats.org/drawingml/2006/main"/>
        <a:p xmlns:a="http://schemas.openxmlformats.org/drawingml/2006/main">
          <a:pPr algn="ctr">
            <a:lnSpc>
              <a:spcPts val="900"/>
            </a:lnSpc>
          </a:pPr>
          <a:r>
            <a:rPr lang="en-CA" sz="850"/>
            <a:t>Unknowns= 927</a:t>
          </a:r>
        </a:p>
      </cdr:txBody>
    </cdr:sp>
  </cdr:relSizeAnchor>
</c:userShapes>
</file>

<file path=word/drawings/drawing10.xml><?xml version="1.0" encoding="utf-8"?>
<c:userShapes xmlns:c="http://schemas.openxmlformats.org/drawingml/2006/chart">
  <cdr:relSizeAnchor xmlns:cdr="http://schemas.openxmlformats.org/drawingml/2006/chartDrawing">
    <cdr:from>
      <cdr:x>0.10431</cdr:x>
      <cdr:y>0.78143</cdr:y>
    </cdr:from>
    <cdr:to>
      <cdr:x>0.96444</cdr:x>
      <cdr:y>1</cdr:y>
    </cdr:to>
    <cdr:sp macro="" textlink="">
      <cdr:nvSpPr>
        <cdr:cNvPr id="3" name="Text Box 2" descr="Calendar Days Axis titles for organization specific external time to staff graphic"/>
        <cdr:cNvSpPr txBox="1"/>
      </cdr:nvSpPr>
      <cdr:spPr>
        <a:xfrm xmlns:a="http://schemas.openxmlformats.org/drawingml/2006/main">
          <a:off x="474918" y="2531661"/>
          <a:ext cx="3916129" cy="7081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CA" sz="900"/>
        </a:p>
      </cdr:txBody>
    </cdr:sp>
  </cdr:relSizeAnchor>
  <cdr:relSizeAnchor xmlns:cdr="http://schemas.openxmlformats.org/drawingml/2006/chartDrawing">
    <cdr:from>
      <cdr:x>0.33801</cdr:x>
      <cdr:y>0.20626</cdr:y>
    </cdr:from>
    <cdr:to>
      <cdr:x>0.3394</cdr:x>
      <cdr:y>0.75628</cdr:y>
    </cdr:to>
    <cdr:cxnSp macro="">
      <cdr:nvCxnSpPr>
        <cdr:cNvPr id="5" name="Straight Connector 4" descr="Median line fof the specified organization's internal time to staff graphic"/>
        <cdr:cNvCxnSpPr/>
      </cdr:nvCxnSpPr>
      <cdr:spPr>
        <a:xfrm xmlns:a="http://schemas.openxmlformats.org/drawingml/2006/main" flipV="1">
          <a:off x="1487426" y="571712"/>
          <a:ext cx="6116" cy="1524531"/>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0.1533</cdr:x>
      <cdr:y>0.9079</cdr:y>
    </cdr:from>
    <cdr:to>
      <cdr:x>0.8294</cdr:x>
      <cdr:y>1</cdr:y>
    </cdr:to>
    <cdr:sp macro="" textlink="">
      <cdr:nvSpPr>
        <cdr:cNvPr id="4" name="Text Box 2"/>
        <cdr:cNvSpPr txBox="1">
          <a:spLocks xmlns:a="http://schemas.openxmlformats.org/drawingml/2006/main" noChangeArrowheads="1"/>
        </cdr:cNvSpPr>
      </cdr:nvSpPr>
      <cdr:spPr bwMode="auto">
        <a:xfrm xmlns:a="http://schemas.openxmlformats.org/drawingml/2006/main">
          <a:off x="247650" y="2260599"/>
          <a:ext cx="1092196" cy="22544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gn="ctr"/>
          <a:r>
            <a:rPr lang="en-CA" sz="850"/>
            <a:t>Unknowns=276</a:t>
          </a:r>
        </a:p>
      </cdr:txBody>
    </cdr:sp>
  </cdr:relSizeAnchor>
</c:userShapes>
</file>

<file path=word/drawings/drawing3.xml><?xml version="1.0" encoding="utf-8"?>
<c:userShapes xmlns:c="http://schemas.openxmlformats.org/drawingml/2006/chart">
  <cdr:relSizeAnchor xmlns:cdr="http://schemas.openxmlformats.org/drawingml/2006/chartDrawing">
    <cdr:from>
      <cdr:x>0.01772</cdr:x>
      <cdr:y>0.94455</cdr:y>
    </cdr:from>
    <cdr:to>
      <cdr:x>0.9823</cdr:x>
      <cdr:y>1</cdr:y>
    </cdr:to>
    <cdr:sp macro="" textlink="">
      <cdr:nvSpPr>
        <cdr:cNvPr id="2" name="Text Box 1"/>
        <cdr:cNvSpPr txBox="1"/>
      </cdr:nvSpPr>
      <cdr:spPr>
        <a:xfrm xmlns:a="http://schemas.openxmlformats.org/drawingml/2006/main">
          <a:off x="60897" y="3429000"/>
          <a:ext cx="3314895" cy="201295"/>
        </a:xfrm>
        <a:prstGeom xmlns:a="http://schemas.openxmlformats.org/drawingml/2006/main" prst="rect">
          <a:avLst/>
        </a:prstGeom>
      </cdr:spPr>
      <cdr:txBody>
        <a:bodyPr xmlns:a="http://schemas.openxmlformats.org/drawingml/2006/main" vertOverflow="clip" wrap="square" tIns="0" bIns="0" rtlCol="0"/>
        <a:lstStyle xmlns:a="http://schemas.openxmlformats.org/drawingml/2006/main"/>
        <a:p xmlns:a="http://schemas.openxmlformats.org/drawingml/2006/main">
          <a:pPr algn="ctr">
            <a:lnSpc>
              <a:spcPts val="900"/>
            </a:lnSpc>
          </a:pPr>
          <a:r>
            <a:rPr lang="en-CA" sz="850"/>
            <a:t>Unknowns= 201</a:t>
          </a:r>
        </a:p>
      </cdr:txBody>
    </cdr:sp>
  </cdr:relSizeAnchor>
</c:userShapes>
</file>

<file path=word/drawings/drawing4.xml><?xml version="1.0" encoding="utf-8"?>
<c:userShapes xmlns:c="http://schemas.openxmlformats.org/drawingml/2006/chart">
  <cdr:relSizeAnchor xmlns:cdr="http://schemas.openxmlformats.org/drawingml/2006/chartDrawing">
    <cdr:from>
      <cdr:x>0.01772</cdr:x>
      <cdr:y>0.94455</cdr:y>
    </cdr:from>
    <cdr:to>
      <cdr:x>0.9823</cdr:x>
      <cdr:y>1</cdr:y>
    </cdr:to>
    <cdr:sp macro="" textlink="">
      <cdr:nvSpPr>
        <cdr:cNvPr id="2" name="Text Box 1"/>
        <cdr:cNvSpPr txBox="1"/>
      </cdr:nvSpPr>
      <cdr:spPr>
        <a:xfrm xmlns:a="http://schemas.openxmlformats.org/drawingml/2006/main">
          <a:off x="60897" y="3429000"/>
          <a:ext cx="3314895" cy="201295"/>
        </a:xfrm>
        <a:prstGeom xmlns:a="http://schemas.openxmlformats.org/drawingml/2006/main" prst="rect">
          <a:avLst/>
        </a:prstGeom>
      </cdr:spPr>
      <cdr:txBody>
        <a:bodyPr xmlns:a="http://schemas.openxmlformats.org/drawingml/2006/main" vertOverflow="clip" wrap="square" tIns="0" bIns="0" rtlCol="0"/>
        <a:lstStyle xmlns:a="http://schemas.openxmlformats.org/drawingml/2006/main"/>
        <a:p xmlns:a="http://schemas.openxmlformats.org/drawingml/2006/main">
          <a:pPr>
            <a:lnSpc>
              <a:spcPts val="900"/>
            </a:lnSpc>
          </a:pPr>
          <a:r>
            <a:rPr lang="en-CA" sz="850"/>
            <a:t>-Regional distribution excludes unknowns</a:t>
          </a:r>
        </a:p>
      </cdr:txBody>
    </cdr:sp>
  </cdr:relSizeAnchor>
</c:userShapes>
</file>

<file path=word/drawings/drawing5.xml><?xml version="1.0" encoding="utf-8"?>
<c:userShapes xmlns:c="http://schemas.openxmlformats.org/drawingml/2006/chart">
  <cdr:relSizeAnchor xmlns:cdr="http://schemas.openxmlformats.org/drawingml/2006/chartDrawing">
    <cdr:from>
      <cdr:x>0.01772</cdr:x>
      <cdr:y>0.81861</cdr:y>
    </cdr:from>
    <cdr:to>
      <cdr:x>0.9823</cdr:x>
      <cdr:y>1</cdr:y>
    </cdr:to>
    <cdr:sp macro="" textlink="">
      <cdr:nvSpPr>
        <cdr:cNvPr id="2" name="Text Box 1"/>
        <cdr:cNvSpPr txBox="1"/>
      </cdr:nvSpPr>
      <cdr:spPr>
        <a:xfrm xmlns:a="http://schemas.openxmlformats.org/drawingml/2006/main">
          <a:off x="64475" y="2971800"/>
          <a:ext cx="3509673" cy="658495"/>
        </a:xfrm>
        <a:prstGeom xmlns:a="http://schemas.openxmlformats.org/drawingml/2006/main" prst="rect">
          <a:avLst/>
        </a:prstGeom>
      </cdr:spPr>
      <cdr:txBody>
        <a:bodyPr xmlns:a="http://schemas.openxmlformats.org/drawingml/2006/main" vertOverflow="clip" wrap="square" tIns="0" bIns="0" rtlCol="0"/>
        <a:lstStyle xmlns:a="http://schemas.openxmlformats.org/drawingml/2006/main"/>
        <a:p xmlns:a="http://schemas.openxmlformats.org/drawingml/2006/main">
          <a:pPr>
            <a:lnSpc>
              <a:spcPts val="900"/>
            </a:lnSpc>
          </a:pPr>
          <a:r>
            <a:rPr lang="en-CA" sz="850"/>
            <a:t>-</a:t>
          </a:r>
          <a:r>
            <a:rPr lang="en-CA" sz="850" baseline="0"/>
            <a:t>Includes indeterminate and specified term appointments</a:t>
          </a:r>
        </a:p>
        <a:p xmlns:a="http://schemas.openxmlformats.org/drawingml/2006/main">
          <a:pPr>
            <a:lnSpc>
              <a:spcPts val="900"/>
            </a:lnSpc>
          </a:pPr>
          <a:r>
            <a:rPr lang="en-CA" sz="850" baseline="0"/>
            <a:t>-Excludes lateral and downward movements, deployments and acting appointments  of less than 4 months</a:t>
          </a:r>
        </a:p>
        <a:p xmlns:a="http://schemas.openxmlformats.org/drawingml/2006/main">
          <a:pPr>
            <a:lnSpc>
              <a:spcPts val="900"/>
            </a:lnSpc>
          </a:pPr>
          <a:r>
            <a:rPr lang="en-CA" sz="850" baseline="0"/>
            <a:t>-Includes only appointments where the staffing process type is known </a:t>
          </a:r>
          <a:r>
            <a:rPr lang="en-CA" sz="850" baseline="0">
              <a:solidFill>
                <a:sysClr val="windowText" lastClr="000000"/>
              </a:solidFill>
            </a:rPr>
            <a:t>(59% to 83</a:t>
          </a:r>
          <a:r>
            <a:rPr lang="en-CA" sz="850" baseline="0"/>
            <a:t>% of appointments)</a:t>
          </a:r>
          <a:endParaRPr lang="en-CA" sz="850"/>
        </a:p>
      </cdr:txBody>
    </cdr:sp>
  </cdr:relSizeAnchor>
</c:userShapes>
</file>

<file path=word/drawings/drawing6.xml><?xml version="1.0" encoding="utf-8"?>
<c:userShapes xmlns:c="http://schemas.openxmlformats.org/drawingml/2006/chart">
  <cdr:relSizeAnchor xmlns:cdr="http://schemas.openxmlformats.org/drawingml/2006/chartDrawing">
    <cdr:from>
      <cdr:x>0.00086</cdr:x>
      <cdr:y>0.85764</cdr:y>
    </cdr:from>
    <cdr:to>
      <cdr:x>0.89136</cdr:x>
      <cdr:y>1</cdr:y>
    </cdr:to>
    <cdr:sp macro="" textlink="">
      <cdr:nvSpPr>
        <cdr:cNvPr id="2" name="Text Box 1" descr="* Indeterminate and term hires with experience in a federal student recruitment program within the last 10 years.&#10;"/>
        <cdr:cNvSpPr txBox="1"/>
      </cdr:nvSpPr>
      <cdr:spPr>
        <a:xfrm xmlns:a="http://schemas.openxmlformats.org/drawingml/2006/main">
          <a:off x="2941" y="2838450"/>
          <a:ext cx="3045042" cy="4711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CA" sz="1100"/>
            <a:t>*</a:t>
          </a:r>
          <a:r>
            <a:rPr lang="en-CA" sz="800"/>
            <a:t>Hires with experience in a federal student recruitment program within the last 10 years</a:t>
          </a:r>
        </a:p>
      </cdr:txBody>
    </cdr:sp>
  </cdr:relSizeAnchor>
</c:userShapes>
</file>

<file path=word/drawings/drawing7.xml><?xml version="1.0" encoding="utf-8"?>
<c:userShapes xmlns:c="http://schemas.openxmlformats.org/drawingml/2006/chart">
  <cdr:relSizeAnchor xmlns:cdr="http://schemas.openxmlformats.org/drawingml/2006/chartDrawing">
    <cdr:from>
      <cdr:x>0.10431</cdr:x>
      <cdr:y>0.78143</cdr:y>
    </cdr:from>
    <cdr:to>
      <cdr:x>0.96444</cdr:x>
      <cdr:y>1</cdr:y>
    </cdr:to>
    <cdr:sp macro="" textlink="">
      <cdr:nvSpPr>
        <cdr:cNvPr id="3" name="Text Box 2" descr="Calendar Days Axis titles for organization specific external time to staff graphic"/>
        <cdr:cNvSpPr txBox="1"/>
      </cdr:nvSpPr>
      <cdr:spPr>
        <a:xfrm xmlns:a="http://schemas.openxmlformats.org/drawingml/2006/main">
          <a:off x="474918" y="2531661"/>
          <a:ext cx="3916129" cy="7081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CA" sz="900"/>
        </a:p>
      </cdr:txBody>
    </cdr:sp>
  </cdr:relSizeAnchor>
  <cdr:relSizeAnchor xmlns:cdr="http://schemas.openxmlformats.org/drawingml/2006/chartDrawing">
    <cdr:from>
      <cdr:x>0.26312</cdr:x>
      <cdr:y>0.20322</cdr:y>
    </cdr:from>
    <cdr:to>
      <cdr:x>0.26451</cdr:x>
      <cdr:y>0.75324</cdr:y>
    </cdr:to>
    <cdr:cxnSp macro="">
      <cdr:nvCxnSpPr>
        <cdr:cNvPr id="5" name="Straight Connector 4" descr="Median line fof the specified organization's internal time to staff graphic"/>
        <cdr:cNvCxnSpPr/>
      </cdr:nvCxnSpPr>
      <cdr:spPr>
        <a:xfrm xmlns:a="http://schemas.openxmlformats.org/drawingml/2006/main" flipV="1">
          <a:off x="1157875" y="576818"/>
          <a:ext cx="6117" cy="1561204"/>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0.10431</cdr:x>
      <cdr:y>0.78143</cdr:y>
    </cdr:from>
    <cdr:to>
      <cdr:x>0.96444</cdr:x>
      <cdr:y>1</cdr:y>
    </cdr:to>
    <cdr:sp macro="" textlink="">
      <cdr:nvSpPr>
        <cdr:cNvPr id="3" name="Text Box 2" descr="Calendar Days Axis titles for organization specific external time to staff graphic"/>
        <cdr:cNvSpPr txBox="1"/>
      </cdr:nvSpPr>
      <cdr:spPr>
        <a:xfrm xmlns:a="http://schemas.openxmlformats.org/drawingml/2006/main">
          <a:off x="474918" y="2531661"/>
          <a:ext cx="3916129" cy="7081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CA" sz="900"/>
        </a:p>
      </cdr:txBody>
    </cdr:sp>
  </cdr:relSizeAnchor>
  <cdr:relSizeAnchor xmlns:cdr="http://schemas.openxmlformats.org/drawingml/2006/chartDrawing">
    <cdr:from>
      <cdr:x>0.28455</cdr:x>
      <cdr:y>0.20654</cdr:y>
    </cdr:from>
    <cdr:to>
      <cdr:x>0.28594</cdr:x>
      <cdr:y>0.75656</cdr:y>
    </cdr:to>
    <cdr:cxnSp macro="">
      <cdr:nvCxnSpPr>
        <cdr:cNvPr id="5" name="Straight Connector 4" descr="Median line fof the specified organization's internal time to staff graphic"/>
        <cdr:cNvCxnSpPr/>
      </cdr:nvCxnSpPr>
      <cdr:spPr>
        <a:xfrm xmlns:a="http://schemas.openxmlformats.org/drawingml/2006/main" flipV="1">
          <a:off x="1252194" y="572472"/>
          <a:ext cx="6117" cy="1524532"/>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drawings/drawing9.xml><?xml version="1.0" encoding="utf-8"?>
<c:userShapes xmlns:c="http://schemas.openxmlformats.org/drawingml/2006/chart">
  <cdr:relSizeAnchor xmlns:cdr="http://schemas.openxmlformats.org/drawingml/2006/chartDrawing">
    <cdr:from>
      <cdr:x>0.10431</cdr:x>
      <cdr:y>0.78143</cdr:y>
    </cdr:from>
    <cdr:to>
      <cdr:x>0.96444</cdr:x>
      <cdr:y>1</cdr:y>
    </cdr:to>
    <cdr:sp macro="" textlink="">
      <cdr:nvSpPr>
        <cdr:cNvPr id="3" name="Text Box 2" descr="Calendar Days Axis titles for organization specific external time to staff graphic"/>
        <cdr:cNvSpPr txBox="1"/>
      </cdr:nvSpPr>
      <cdr:spPr>
        <a:xfrm xmlns:a="http://schemas.openxmlformats.org/drawingml/2006/main">
          <a:off x="474918" y="2531661"/>
          <a:ext cx="3916129" cy="7081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CA" sz="900"/>
        </a:p>
      </cdr:txBody>
    </cdr:sp>
  </cdr:relSizeAnchor>
  <cdr:relSizeAnchor xmlns:cdr="http://schemas.openxmlformats.org/drawingml/2006/chartDrawing">
    <cdr:from>
      <cdr:x>0.28693</cdr:x>
      <cdr:y>0.19986</cdr:y>
    </cdr:from>
    <cdr:to>
      <cdr:x>0.28832</cdr:x>
      <cdr:y>0.74988</cdr:y>
    </cdr:to>
    <cdr:cxnSp macro="">
      <cdr:nvCxnSpPr>
        <cdr:cNvPr id="5" name="Straight Connector 4" descr="Median line fof the specified organization's internal time to staff graphic"/>
        <cdr:cNvCxnSpPr/>
      </cdr:nvCxnSpPr>
      <cdr:spPr>
        <a:xfrm xmlns:a="http://schemas.openxmlformats.org/drawingml/2006/main" flipV="1">
          <a:off x="1262650" y="553968"/>
          <a:ext cx="6117" cy="1524532"/>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CFP-PSC-Theme2019-fromWord">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0099A8"/>
      </a:hlink>
      <a:folHlink>
        <a:srgbClr val="A5A5A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632CB-8A52-46CD-A6B9-46367DC7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PSC-Letterhead-Corpo2019.dotx</Template>
  <TotalTime>0</TotalTime>
  <Pages>31</Pages>
  <Words>5942</Words>
  <Characters>33876</Characters>
  <Application>Microsoft Office Word</Application>
  <DocSecurity>0</DocSecurity>
  <Lines>282</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CFP-PSC</Company>
  <LinksUpToDate>false</LinksUpToDate>
  <CharactersWithSpaces>39739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Ferreira</dc:creator>
  <cp:keywords/>
  <dc:description/>
  <cp:lastModifiedBy>Snjezana Kulic</cp:lastModifiedBy>
  <cp:revision>2</cp:revision>
  <dcterms:created xsi:type="dcterms:W3CDTF">2022-03-04T22:13:00Z</dcterms:created>
  <dcterms:modified xsi:type="dcterms:W3CDTF">2022-03-04T22:13:00Z</dcterms:modified>
</cp:coreProperties>
</file>